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EFA9E" w14:textId="77777777" w:rsidR="00B01451" w:rsidRDefault="00722C8E">
      <w:pPr>
        <w:spacing w:line="360" w:lineRule="auto"/>
        <w:ind w:left="4320" w:firstLine="720"/>
        <w:jc w:val="center"/>
        <w:rPr>
          <w:b/>
          <w:bCs/>
          <w:i/>
          <w:iCs/>
        </w:rPr>
      </w:pPr>
      <w:r>
        <w:rPr>
          <w:b/>
          <w:bCs/>
          <w:i/>
          <w:iCs/>
        </w:rPr>
        <w:t xml:space="preserve">Приложение </w:t>
      </w:r>
      <w:r>
        <w:rPr>
          <w:b/>
          <w:bCs/>
          <w:i/>
          <w:iCs/>
          <w:lang w:val="en-US"/>
        </w:rPr>
        <w:t>VII</w:t>
      </w:r>
    </w:p>
    <w:p w14:paraId="39E18E10" w14:textId="77777777" w:rsidR="00B01451" w:rsidRDefault="00B01451">
      <w:pPr>
        <w:spacing w:line="360" w:lineRule="auto"/>
        <w:jc w:val="center"/>
        <w:rPr>
          <w:b/>
          <w:bCs/>
          <w:sz w:val="28"/>
          <w:szCs w:val="28"/>
        </w:rPr>
      </w:pPr>
    </w:p>
    <w:p w14:paraId="1D13CFA9" w14:textId="5F0301B9" w:rsidR="00B01451" w:rsidRDefault="00722C8E">
      <w:pPr>
        <w:spacing w:line="360" w:lineRule="auto"/>
        <w:jc w:val="center"/>
        <w:rPr>
          <w:b/>
          <w:bCs/>
          <w:sz w:val="28"/>
          <w:szCs w:val="28"/>
        </w:rPr>
      </w:pPr>
      <w:r>
        <w:rPr>
          <w:b/>
          <w:bCs/>
          <w:sz w:val="28"/>
          <w:szCs w:val="28"/>
        </w:rPr>
        <w:t xml:space="preserve">Практически указания за попълване на Помощна таблица и изготвяне на бюджет (обосноваване на еднократна сума) на проектно предложение за кандидатстване по процедура </w:t>
      </w:r>
      <w:r>
        <w:rPr>
          <w:b/>
          <w:sz w:val="28"/>
          <w:szCs w:val="28"/>
        </w:rPr>
        <w:t xml:space="preserve">BG05SFPR001-1.002 </w:t>
      </w:r>
      <w:r>
        <w:rPr>
          <w:b/>
          <w:bCs/>
          <w:sz w:val="28"/>
          <w:szCs w:val="28"/>
        </w:rPr>
        <w:t>"Достъп до образование за всяко дете"</w:t>
      </w:r>
    </w:p>
    <w:p w14:paraId="1C1243B0" w14:textId="77777777" w:rsidR="00B01451" w:rsidRDefault="00B01451">
      <w:pPr>
        <w:spacing w:line="360" w:lineRule="auto"/>
        <w:jc w:val="center"/>
        <w:rPr>
          <w:b/>
          <w:bCs/>
        </w:rPr>
      </w:pPr>
    </w:p>
    <w:p w14:paraId="03BB80BF" w14:textId="77777777" w:rsidR="00B01451" w:rsidRDefault="00722C8E">
      <w:pPr>
        <w:spacing w:after="120" w:line="360" w:lineRule="auto"/>
        <w:ind w:firstLine="708"/>
        <w:jc w:val="both"/>
        <w:rPr>
          <w:bCs/>
        </w:rPr>
      </w:pPr>
      <w:r>
        <w:rPr>
          <w:bCs/>
        </w:rPr>
        <w:t>Бюджетът се изготвя с помощта на следните документи</w:t>
      </w:r>
      <w:r>
        <w:rPr>
          <w:bCs/>
          <w:lang w:val="en-US"/>
        </w:rPr>
        <w:t xml:space="preserve"> </w:t>
      </w:r>
      <w:r>
        <w:rPr>
          <w:bCs/>
        </w:rPr>
        <w:t>и информация:</w:t>
      </w:r>
    </w:p>
    <w:p w14:paraId="4B46CFA4" w14:textId="77777777" w:rsidR="00B01451" w:rsidRDefault="00722C8E">
      <w:pPr>
        <w:pStyle w:val="ListParagraph"/>
        <w:numPr>
          <w:ilvl w:val="0"/>
          <w:numId w:val="1"/>
        </w:numPr>
        <w:spacing w:after="120" w:line="360" w:lineRule="auto"/>
        <w:contextualSpacing w:val="0"/>
        <w:jc w:val="both"/>
        <w:rPr>
          <w:bCs/>
          <w:lang w:val="en-US"/>
        </w:rPr>
      </w:pPr>
      <w:r>
        <w:rPr>
          <w:bCs/>
        </w:rPr>
        <w:t>Информацията, попълнена от кандидата в секция 4. „План за изпълнение/Дейности по проекта“ и секция 11. „Допълнителна информация, необходима за оценка на проектното предложение“, поле „Обосновка за подбора на районите за обхват/екипите за обхват за включване в проектното предложение“ на Формуляра за кандидатстване;</w:t>
      </w:r>
    </w:p>
    <w:p w14:paraId="76989F84" w14:textId="39E8C262" w:rsidR="00B01451" w:rsidRDefault="00722C8E">
      <w:pPr>
        <w:pStyle w:val="ListParagraph"/>
        <w:numPr>
          <w:ilvl w:val="0"/>
          <w:numId w:val="1"/>
        </w:numPr>
        <w:spacing w:after="120" w:line="360" w:lineRule="auto"/>
        <w:contextualSpacing w:val="0"/>
        <w:jc w:val="both"/>
        <w:rPr>
          <w:bCs/>
          <w:lang w:val="en-US"/>
        </w:rPr>
      </w:pPr>
      <w:r>
        <w:rPr>
          <w:bCs/>
        </w:rPr>
        <w:t xml:space="preserve">Помощна таблица </w:t>
      </w:r>
      <w:r w:rsidR="00306439">
        <w:rPr>
          <w:bCs/>
        </w:rPr>
        <w:t xml:space="preserve">ДОВД </w:t>
      </w:r>
      <w:r>
        <w:rPr>
          <w:bCs/>
        </w:rPr>
        <w:t xml:space="preserve">– Приложение </w:t>
      </w:r>
      <w:r>
        <w:rPr>
          <w:bCs/>
          <w:lang w:val="en-US"/>
        </w:rPr>
        <w:t>II</w:t>
      </w:r>
      <w:r>
        <w:rPr>
          <w:bCs/>
        </w:rPr>
        <w:t>;</w:t>
      </w:r>
    </w:p>
    <w:p w14:paraId="582C7C18" w14:textId="1166083E" w:rsidR="00B01451" w:rsidRDefault="00722C8E">
      <w:pPr>
        <w:pStyle w:val="ListParagraph"/>
        <w:numPr>
          <w:ilvl w:val="0"/>
          <w:numId w:val="1"/>
        </w:numPr>
        <w:spacing w:after="120" w:line="360" w:lineRule="auto"/>
        <w:contextualSpacing w:val="0"/>
        <w:jc w:val="both"/>
      </w:pPr>
      <w:r>
        <w:rPr>
          <w:bCs/>
        </w:rPr>
        <w:t>Условия за кандидатстване – т.</w:t>
      </w:r>
      <w:r w:rsidR="0092510F">
        <w:rPr>
          <w:bCs/>
        </w:rPr>
        <w:t xml:space="preserve"> </w:t>
      </w:r>
      <w:r>
        <w:rPr>
          <w:bCs/>
        </w:rPr>
        <w:t>13, т.</w:t>
      </w:r>
      <w:r w:rsidR="0092510F">
        <w:rPr>
          <w:bCs/>
        </w:rPr>
        <w:t xml:space="preserve"> </w:t>
      </w:r>
      <w:r>
        <w:rPr>
          <w:bCs/>
        </w:rPr>
        <w:t>14, т.</w:t>
      </w:r>
      <w:r w:rsidR="0092510F">
        <w:rPr>
          <w:bCs/>
        </w:rPr>
        <w:t xml:space="preserve"> </w:t>
      </w:r>
      <w:r>
        <w:rPr>
          <w:bCs/>
        </w:rPr>
        <w:t>16, Приложение</w:t>
      </w:r>
      <w:r>
        <w:rPr>
          <w:bCs/>
          <w:lang w:val="en-US"/>
        </w:rPr>
        <w:t xml:space="preserve"> VI</w:t>
      </w:r>
      <w:r>
        <w:rPr>
          <w:bCs/>
        </w:rPr>
        <w:t xml:space="preserve"> – Указания за попълване на електронен формуляр за кандидатстване </w:t>
      </w:r>
    </w:p>
    <w:p w14:paraId="3DA18959" w14:textId="73783B09" w:rsidR="00B01451" w:rsidRDefault="00722C8E">
      <w:pPr>
        <w:pStyle w:val="Style1"/>
        <w:rPr>
          <w:color w:val="FF0000"/>
          <w:lang w:val="en-US"/>
        </w:rPr>
      </w:pPr>
      <w:r>
        <w:t>1. Общи указания за попълване на Помощната таблица</w:t>
      </w:r>
      <w:r w:rsidR="000E29A4">
        <w:t xml:space="preserve"> ДОВД</w:t>
      </w:r>
      <w:r>
        <w:t xml:space="preserve"> и изготвяне на бюджет </w:t>
      </w:r>
      <w:r>
        <w:rPr>
          <w:lang w:val="en-US"/>
        </w:rPr>
        <w:t>(</w:t>
      </w:r>
      <w:r>
        <w:t>обосноваване на еднократна сума</w:t>
      </w:r>
      <w:r>
        <w:rPr>
          <w:lang w:val="en-US"/>
        </w:rPr>
        <w:t>)</w:t>
      </w:r>
    </w:p>
    <w:p w14:paraId="791EF2FF" w14:textId="77777777" w:rsidR="00B01451" w:rsidRDefault="00B01451"/>
    <w:p w14:paraId="00CD2FD0" w14:textId="166B515D" w:rsidR="00B01451" w:rsidRPr="00794AAD" w:rsidRDefault="00722C8E" w:rsidP="00A137DF">
      <w:pPr>
        <w:spacing w:after="120" w:line="360" w:lineRule="auto"/>
        <w:jc w:val="both"/>
      </w:pPr>
      <w:r>
        <w:rPr>
          <w:bCs/>
        </w:rPr>
        <w:t>Безвъзмездната финансова помощ за изпълнение на проект по процедура BG05SFPR001-1.002 "Достъп до образование за всяко дете" се предоставя на конкретните бенефициенти – 28 РУО съгласно т. 8 от Условията за кандидатстване</w:t>
      </w:r>
      <w:r w:rsidR="00803451">
        <w:rPr>
          <w:bCs/>
          <w:lang w:val="en-US"/>
        </w:rPr>
        <w:t>.</w:t>
      </w:r>
    </w:p>
    <w:p w14:paraId="2C2FCC6F" w14:textId="31F8D2AF" w:rsidR="00B01451" w:rsidRPr="00794AAD" w:rsidRDefault="00722C8E" w:rsidP="00A137DF">
      <w:pPr>
        <w:spacing w:before="120" w:after="120" w:line="360" w:lineRule="auto"/>
        <w:jc w:val="both"/>
        <w:rPr>
          <w:b/>
        </w:rPr>
      </w:pPr>
      <w:r w:rsidRPr="00794AAD">
        <w:rPr>
          <w:b/>
          <w:bCs/>
        </w:rPr>
        <w:t xml:space="preserve">Финансирането на проектните предложения по настоящата процедура се предоставя под формата на </w:t>
      </w:r>
      <w:r w:rsidRPr="00794AAD">
        <w:rPr>
          <w:b/>
          <w:u w:val="single"/>
        </w:rPr>
        <w:t>еднократн</w:t>
      </w:r>
      <w:r w:rsidR="00A55DE4" w:rsidRPr="00794AAD">
        <w:rPr>
          <w:b/>
          <w:u w:val="single"/>
        </w:rPr>
        <w:t>а</w:t>
      </w:r>
      <w:r w:rsidRPr="00794AAD">
        <w:rPr>
          <w:b/>
          <w:u w:val="single"/>
        </w:rPr>
        <w:t xml:space="preserve"> сум</w:t>
      </w:r>
      <w:r w:rsidR="00A55DE4" w:rsidRPr="00794AAD">
        <w:rPr>
          <w:b/>
          <w:u w:val="single"/>
        </w:rPr>
        <w:t xml:space="preserve">а </w:t>
      </w:r>
      <w:r w:rsidR="00307B38">
        <w:rPr>
          <w:b/>
          <w:u w:val="single"/>
        </w:rPr>
        <w:t xml:space="preserve">в размер </w:t>
      </w:r>
      <w:r w:rsidR="00803451" w:rsidRPr="00803451">
        <w:rPr>
          <w:b/>
          <w:u w:val="single"/>
        </w:rPr>
        <w:t>до 391 166 лв.</w:t>
      </w:r>
      <w:r w:rsidRPr="00794AAD">
        <w:rPr>
          <w:b/>
        </w:rPr>
        <w:t xml:space="preserve">, по смисъла на член 53, параграф 1, буква в) от Регламент (ЕС) 1060/2021 (съответно чл. 55, ал. 1, т. 3 от ЗУСЕФСУ). </w:t>
      </w:r>
    </w:p>
    <w:p w14:paraId="40C2959E" w14:textId="09FBE2CD" w:rsidR="00B01451" w:rsidRPr="00794AAD" w:rsidRDefault="00722C8E" w:rsidP="0081547F">
      <w:pPr>
        <w:spacing w:before="120" w:after="120" w:line="360" w:lineRule="auto"/>
        <w:jc w:val="both"/>
      </w:pPr>
      <w:r w:rsidRPr="00794AAD">
        <w:t xml:space="preserve">Всички конкретни бенефициенти попълват </w:t>
      </w:r>
      <w:r w:rsidR="00A55DE4" w:rsidRPr="00794AAD">
        <w:t xml:space="preserve">Помощна таблица ДОВД </w:t>
      </w:r>
      <w:r w:rsidR="00A55DE4" w:rsidRPr="00794AAD">
        <w:rPr>
          <w:i/>
          <w:iCs/>
        </w:rPr>
        <w:t>(Приложение II</w:t>
      </w:r>
      <w:r w:rsidR="00494B35">
        <w:rPr>
          <w:i/>
          <w:iCs/>
        </w:rPr>
        <w:t xml:space="preserve"> </w:t>
      </w:r>
      <w:r w:rsidR="00A55DE4" w:rsidRPr="00794AAD">
        <w:rPr>
          <w:i/>
          <w:iCs/>
        </w:rPr>
        <w:t>към Условията за кандидатстване)</w:t>
      </w:r>
      <w:r w:rsidR="00A55DE4" w:rsidRPr="00794AAD">
        <w:t>,</w:t>
      </w:r>
      <w:r w:rsidRPr="00794AAD">
        <w:t xml:space="preserve"> с което обосновават необходимите разходи за изпълнението на проектните дейности, изчисляват планирания общ бюджет на проекта като спазват параметрите, зададени от УО и така определят размера на еднократната сума, с която може да се финансира изпълнението на съответното проектно предложение.</w:t>
      </w:r>
    </w:p>
    <w:p w14:paraId="03F29955" w14:textId="600C4543" w:rsidR="00B01451" w:rsidRPr="00794AAD" w:rsidRDefault="00722C8E" w:rsidP="0081547F">
      <w:pPr>
        <w:spacing w:before="120" w:after="120" w:line="360" w:lineRule="auto"/>
        <w:jc w:val="both"/>
      </w:pPr>
      <w:r w:rsidRPr="00794AAD">
        <w:lastRenderedPageBreak/>
        <w:t xml:space="preserve">Необходимите разходи се обосновават и изчисляват чрез използване на единични разходи, описани в Таблицата на единичните разходи и еднократните суми, които може да се прилагат за процедури, финансирани от Програма „Образование“ през програмния период 2021-2027 г. </w:t>
      </w:r>
      <w:r w:rsidR="00087438" w:rsidRPr="00794AAD">
        <w:t>(документ ТЕРЕС-ПО-1.</w:t>
      </w:r>
      <w:r w:rsidR="00803451">
        <w:rPr>
          <w:lang w:val="en-US"/>
        </w:rPr>
        <w:t>3</w:t>
      </w:r>
      <w:r w:rsidR="00803451" w:rsidRPr="00794AAD">
        <w:t xml:space="preserve"> </w:t>
      </w:r>
      <w:r w:rsidR="00087438" w:rsidRPr="00794AAD">
        <w:t xml:space="preserve">към Приложение IX – </w:t>
      </w:r>
      <w:r w:rsidR="00803451">
        <w:t>ОВР</w:t>
      </w:r>
      <w:r w:rsidR="00803451" w:rsidRPr="00794AAD">
        <w:t xml:space="preserve"> </w:t>
      </w:r>
      <w:r w:rsidR="00087438" w:rsidRPr="00794AAD">
        <w:t>ДОВД)</w:t>
      </w:r>
      <w:r w:rsidRPr="00794AAD">
        <w:t>, както следва:</w:t>
      </w:r>
    </w:p>
    <w:p w14:paraId="0CF0F792" w14:textId="77777777" w:rsidR="00B01451" w:rsidRPr="00CD11AC" w:rsidRDefault="00722C8E" w:rsidP="0081547F">
      <w:pPr>
        <w:spacing w:before="120" w:after="120" w:line="360" w:lineRule="auto"/>
        <w:jc w:val="both"/>
        <w:rPr>
          <w:i/>
          <w:iCs/>
        </w:rPr>
      </w:pPr>
      <w:r w:rsidRPr="00CD11AC">
        <w:rPr>
          <w:i/>
          <w:iCs/>
        </w:rPr>
        <w:t>Единичен разход 3.4. Еднократна месечна сума за възнаграждения на образователни медиатори, социални работници, помощник на учителя – заетост 4 часа на ден;</w:t>
      </w:r>
    </w:p>
    <w:p w14:paraId="13565D88" w14:textId="77777777" w:rsidR="00B01451" w:rsidRPr="00CD11AC" w:rsidRDefault="00722C8E" w:rsidP="0081547F">
      <w:pPr>
        <w:spacing w:before="120" w:after="120" w:line="360" w:lineRule="auto"/>
        <w:jc w:val="both"/>
        <w:rPr>
          <w:i/>
          <w:iCs/>
        </w:rPr>
      </w:pPr>
      <w:r w:rsidRPr="00CD11AC">
        <w:rPr>
          <w:i/>
          <w:iCs/>
        </w:rPr>
        <w:t>Единичен разход 3.27. Възнаграждения на педагогическите специалисти за 1 отработен астрономически час;</w:t>
      </w:r>
    </w:p>
    <w:p w14:paraId="734ED470" w14:textId="77777777" w:rsidR="00B01451" w:rsidRPr="00CD11AC" w:rsidRDefault="00722C8E" w:rsidP="0081547F">
      <w:pPr>
        <w:spacing w:before="120" w:after="120" w:line="360" w:lineRule="auto"/>
        <w:jc w:val="both"/>
        <w:rPr>
          <w:i/>
          <w:iCs/>
        </w:rPr>
      </w:pPr>
      <w:r w:rsidRPr="00CD11AC">
        <w:rPr>
          <w:i/>
          <w:iCs/>
        </w:rPr>
        <w:t>Единичен разход 3.28. Възнаграждения на експерти образователни дейности за 1 отработен астрономически час.</w:t>
      </w:r>
    </w:p>
    <w:p w14:paraId="3238C912" w14:textId="51C9F969" w:rsidR="00B01451" w:rsidRPr="00794AAD" w:rsidRDefault="00722C8E" w:rsidP="0081547F">
      <w:pPr>
        <w:spacing w:before="120" w:after="120" w:line="360" w:lineRule="auto"/>
        <w:jc w:val="both"/>
      </w:pPr>
      <w:r w:rsidRPr="00794AAD">
        <w:t xml:space="preserve">В </w:t>
      </w:r>
      <w:r w:rsidR="00A55DE4" w:rsidRPr="00794AAD">
        <w:t xml:space="preserve">Помощна таблица ДОВД </w:t>
      </w:r>
      <w:r w:rsidR="00A55DE4" w:rsidRPr="00794AAD">
        <w:rPr>
          <w:i/>
          <w:iCs/>
        </w:rPr>
        <w:t>(Приложение II</w:t>
      </w:r>
      <w:r w:rsidR="00494B35">
        <w:rPr>
          <w:i/>
          <w:iCs/>
        </w:rPr>
        <w:t xml:space="preserve"> </w:t>
      </w:r>
      <w:r w:rsidR="00A55DE4" w:rsidRPr="00794AAD">
        <w:rPr>
          <w:i/>
          <w:iCs/>
        </w:rPr>
        <w:t>към Условията за кандидатстване)</w:t>
      </w:r>
      <w:r w:rsidR="00A55DE4" w:rsidRPr="00794AAD">
        <w:t xml:space="preserve"> </w:t>
      </w:r>
      <w:r w:rsidRPr="00794AAD">
        <w:t xml:space="preserve">е обоснован и изчислен нов единичен разход: </w:t>
      </w:r>
      <w:r w:rsidRPr="00A137DF">
        <w:rPr>
          <w:i/>
          <w:iCs/>
        </w:rPr>
        <w:t>Допълнително възнаграждение за посещение на 1 адрес извън работно време</w:t>
      </w:r>
      <w:r w:rsidR="00803451">
        <w:t xml:space="preserve">, </w:t>
      </w:r>
      <w:r w:rsidR="00803451" w:rsidRPr="00803451">
        <w:t xml:space="preserve">който </w:t>
      </w:r>
      <w:r w:rsidR="00DF022C">
        <w:t>с</w:t>
      </w:r>
      <w:r w:rsidR="00803451" w:rsidRPr="00803451">
        <w:t xml:space="preserve">е </w:t>
      </w:r>
      <w:r w:rsidR="00DF022C">
        <w:t xml:space="preserve">прилага </w:t>
      </w:r>
      <w:r w:rsidR="00803451" w:rsidRPr="00803451">
        <w:t>само за членовете на екипите за обхват извън новоназначените допълнителни специалисти.</w:t>
      </w:r>
      <w:r w:rsidRPr="00794AAD">
        <w:t xml:space="preserve"> </w:t>
      </w:r>
    </w:p>
    <w:p w14:paraId="47867F18" w14:textId="77777777" w:rsidR="00B01451" w:rsidRPr="00794AAD" w:rsidRDefault="00722C8E" w:rsidP="0081547F">
      <w:pPr>
        <w:spacing w:before="120" w:after="120" w:line="360" w:lineRule="auto"/>
        <w:jc w:val="both"/>
      </w:pPr>
      <w:r w:rsidRPr="00794AAD">
        <w:t xml:space="preserve">Въз основа на преките разходи за персонал се изчислява допустимият размер на другите преки и непреки разходи за изпълнението на </w:t>
      </w:r>
      <w:proofErr w:type="spellStart"/>
      <w:r w:rsidRPr="00794AAD">
        <w:t>поддейности</w:t>
      </w:r>
      <w:proofErr w:type="spellEnd"/>
      <w:r w:rsidRPr="00794AAD">
        <w:t xml:space="preserve"> 1.1, 1.3 и 1.4 като се прилага единна ставка в размер на 40 % (</w:t>
      </w:r>
      <w:r w:rsidRPr="00794AAD">
        <w:rPr>
          <w:color w:val="000000" w:themeColor="text1"/>
        </w:rPr>
        <w:t>съгласно чл. 56, параграф 1 от Регламент (ЕС) 2021/1060).</w:t>
      </w:r>
      <w:r w:rsidRPr="00794AAD">
        <w:t xml:space="preserve"> </w:t>
      </w:r>
    </w:p>
    <w:p w14:paraId="0DC6A778" w14:textId="36C97403" w:rsidR="00B01451" w:rsidRPr="00794AAD" w:rsidRDefault="00722C8E" w:rsidP="0081547F">
      <w:pPr>
        <w:spacing w:before="120" w:after="120" w:line="360" w:lineRule="auto"/>
        <w:jc w:val="both"/>
      </w:pPr>
      <w:r w:rsidRPr="00794AAD">
        <w:t xml:space="preserve">За обосноваване на необходимите разходи за изпълнение на </w:t>
      </w:r>
      <w:proofErr w:type="spellStart"/>
      <w:r w:rsidRPr="00794AAD">
        <w:t>поддейност</w:t>
      </w:r>
      <w:proofErr w:type="spellEnd"/>
      <w:r w:rsidRPr="00794AAD">
        <w:t xml:space="preserve"> 1.2 се използват следните единични разходи от </w:t>
      </w:r>
      <w:r w:rsidR="00F95AFF">
        <w:t xml:space="preserve">документ </w:t>
      </w:r>
      <w:r w:rsidRPr="00794AAD">
        <w:t>ТЕРЕС-ПО</w:t>
      </w:r>
      <w:r w:rsidR="00087438" w:rsidRPr="00794AAD">
        <w:t>-1.</w:t>
      </w:r>
      <w:r w:rsidR="00803451">
        <w:t>3</w:t>
      </w:r>
      <w:r w:rsidR="00803451" w:rsidRPr="00794AAD">
        <w:t xml:space="preserve"> </w:t>
      </w:r>
      <w:r w:rsidR="00087438" w:rsidRPr="00794AAD">
        <w:t xml:space="preserve">към Приложение IX – </w:t>
      </w:r>
      <w:r w:rsidR="00803451">
        <w:t>ОВР</w:t>
      </w:r>
      <w:r w:rsidR="00753393">
        <w:t>-</w:t>
      </w:r>
      <w:r w:rsidR="00087438" w:rsidRPr="00794AAD">
        <w:t>ДОВД</w:t>
      </w:r>
      <w:r w:rsidRPr="00794AAD">
        <w:t>:</w:t>
      </w:r>
    </w:p>
    <w:p w14:paraId="191361B7" w14:textId="77777777" w:rsidR="00B01451" w:rsidRPr="00CD11AC" w:rsidRDefault="00722C8E" w:rsidP="0081547F">
      <w:pPr>
        <w:spacing w:before="120" w:after="120" w:line="360" w:lineRule="auto"/>
        <w:jc w:val="both"/>
        <w:rPr>
          <w:i/>
          <w:iCs/>
        </w:rPr>
      </w:pPr>
      <w:r w:rsidRPr="00CD11AC">
        <w:rPr>
          <w:i/>
          <w:iCs/>
        </w:rPr>
        <w:t>1.37. Еднодневно обучение за повишаване на квалификацията с физическо присъствие (без нощувки)</w:t>
      </w:r>
    </w:p>
    <w:p w14:paraId="17986906" w14:textId="77777777" w:rsidR="00B01451" w:rsidRPr="00CD11AC" w:rsidRDefault="00722C8E" w:rsidP="0081547F">
      <w:pPr>
        <w:spacing w:before="120" w:after="120" w:line="360" w:lineRule="auto"/>
        <w:jc w:val="both"/>
        <w:rPr>
          <w:i/>
          <w:iCs/>
        </w:rPr>
      </w:pPr>
      <w:r w:rsidRPr="00CD11AC">
        <w:rPr>
          <w:i/>
          <w:iCs/>
        </w:rPr>
        <w:t>1.38. Двудневно обучение за повишаване на квалификацията с физическо присъствие (без нощувки)</w:t>
      </w:r>
    </w:p>
    <w:p w14:paraId="4D01BFDB" w14:textId="77777777" w:rsidR="00B01451" w:rsidRPr="00CD11AC" w:rsidRDefault="00722C8E" w:rsidP="0081547F">
      <w:pPr>
        <w:spacing w:before="120" w:after="120" w:line="360" w:lineRule="auto"/>
        <w:jc w:val="both"/>
        <w:rPr>
          <w:i/>
          <w:iCs/>
        </w:rPr>
      </w:pPr>
      <w:r w:rsidRPr="00CD11AC">
        <w:rPr>
          <w:i/>
          <w:iCs/>
        </w:rPr>
        <w:t>1.39. Двудневно изнесено обучение за повишаване на квалификацията с нощувки</w:t>
      </w:r>
    </w:p>
    <w:p w14:paraId="572A02A2" w14:textId="77777777" w:rsidR="00B01451" w:rsidRPr="00CD11AC" w:rsidRDefault="00722C8E" w:rsidP="0081547F">
      <w:pPr>
        <w:spacing w:before="120" w:after="120" w:line="360" w:lineRule="auto"/>
        <w:jc w:val="both"/>
        <w:rPr>
          <w:i/>
          <w:iCs/>
        </w:rPr>
      </w:pPr>
      <w:r w:rsidRPr="00CD11AC">
        <w:rPr>
          <w:i/>
          <w:iCs/>
        </w:rPr>
        <w:t>1.40. Тридневно обучение за повишаване на квалификацията с физическо присъствие (без нощувки)</w:t>
      </w:r>
    </w:p>
    <w:p w14:paraId="01B3E509" w14:textId="77777777" w:rsidR="00B01451" w:rsidRPr="00CD11AC" w:rsidRDefault="00722C8E" w:rsidP="0081547F">
      <w:pPr>
        <w:spacing w:before="120" w:after="120" w:line="360" w:lineRule="auto"/>
        <w:jc w:val="both"/>
        <w:rPr>
          <w:i/>
          <w:iCs/>
        </w:rPr>
      </w:pPr>
      <w:r w:rsidRPr="00CD11AC">
        <w:rPr>
          <w:i/>
          <w:iCs/>
        </w:rPr>
        <w:t>1.41. Тридневно изнесено обучение за повишаване на квалификацията с нощувки</w:t>
      </w:r>
    </w:p>
    <w:p w14:paraId="6D663820" w14:textId="5E63751D" w:rsidR="00B01451" w:rsidRPr="00794AAD" w:rsidRDefault="00722C8E" w:rsidP="0081547F">
      <w:pPr>
        <w:spacing w:before="120" w:after="120" w:line="360" w:lineRule="auto"/>
        <w:jc w:val="both"/>
        <w:rPr>
          <w:bCs/>
        </w:rPr>
      </w:pPr>
      <w:r w:rsidRPr="00794AAD">
        <w:lastRenderedPageBreak/>
        <w:t xml:space="preserve">Въз основа на преките разходи за изпълнение на </w:t>
      </w:r>
      <w:proofErr w:type="spellStart"/>
      <w:r w:rsidRPr="00794AAD">
        <w:t>поддейност</w:t>
      </w:r>
      <w:proofErr w:type="spellEnd"/>
      <w:r w:rsidRPr="00794AAD">
        <w:t xml:space="preserve"> 1.2 се изчислява допустимият размер на непреките разходи за изпълнението на </w:t>
      </w:r>
      <w:proofErr w:type="spellStart"/>
      <w:r w:rsidRPr="00794AAD">
        <w:t>поддейност</w:t>
      </w:r>
      <w:proofErr w:type="spellEnd"/>
      <w:r w:rsidRPr="00794AAD">
        <w:t xml:space="preserve"> 1.2 като се прилага единна ставка в размер на 7 % (</w:t>
      </w:r>
      <w:r w:rsidRPr="00794AAD">
        <w:rPr>
          <w:color w:val="000000" w:themeColor="text1"/>
        </w:rPr>
        <w:t xml:space="preserve">съгласно чл. 54, буква </w:t>
      </w:r>
      <w:r w:rsidRPr="00794AAD">
        <w:t>„</w:t>
      </w:r>
      <w:r w:rsidRPr="00794AAD">
        <w:rPr>
          <w:color w:val="000000" w:themeColor="text1"/>
        </w:rPr>
        <w:t>а</w:t>
      </w:r>
      <w:r w:rsidRPr="00794AAD">
        <w:t>“</w:t>
      </w:r>
      <w:r w:rsidRPr="00794AAD">
        <w:rPr>
          <w:color w:val="000000" w:themeColor="text1"/>
        </w:rPr>
        <w:t xml:space="preserve"> от Регламент (ЕС) 2021/1060)</w:t>
      </w:r>
    </w:p>
    <w:p w14:paraId="058403C4" w14:textId="61EBCDDD" w:rsidR="00B01451" w:rsidRDefault="00B01451">
      <w:pPr>
        <w:spacing w:after="120" w:line="360" w:lineRule="auto"/>
        <w:jc w:val="both"/>
        <w:rPr>
          <w:bCs/>
        </w:rPr>
      </w:pPr>
    </w:p>
    <w:p w14:paraId="34911C0B" w14:textId="7652FE6C" w:rsidR="00B01451" w:rsidRDefault="00722C8E">
      <w:pPr>
        <w:pStyle w:val="Style1"/>
        <w:rPr>
          <w:i/>
          <w:iCs/>
        </w:rPr>
      </w:pPr>
      <w:r>
        <w:t xml:space="preserve">2. Попълване на Помощната таблица </w:t>
      </w:r>
      <w:r w:rsidR="000E29A4">
        <w:t xml:space="preserve">ДОВД </w:t>
      </w:r>
      <w:r>
        <w:t xml:space="preserve">– работен лист </w:t>
      </w:r>
      <w:r>
        <w:rPr>
          <w:i/>
          <w:iCs/>
        </w:rPr>
        <w:t xml:space="preserve">Еднократна сума </w:t>
      </w:r>
    </w:p>
    <w:p w14:paraId="3DEDA16C" w14:textId="77777777" w:rsidR="00B01451" w:rsidRDefault="00B01451"/>
    <w:p w14:paraId="60567464" w14:textId="77777777" w:rsidR="00B01451" w:rsidRDefault="00722C8E">
      <w:pPr>
        <w:spacing w:after="120" w:line="360" w:lineRule="auto"/>
        <w:jc w:val="both"/>
        <w:rPr>
          <w:b/>
        </w:rPr>
      </w:pPr>
      <w:r>
        <w:rPr>
          <w:b/>
        </w:rPr>
        <w:t xml:space="preserve">Въвеждат се данни </w:t>
      </w:r>
      <w:r>
        <w:rPr>
          <w:b/>
          <w:u w:val="single"/>
        </w:rPr>
        <w:t xml:space="preserve">само </w:t>
      </w:r>
      <w:r>
        <w:rPr>
          <w:b/>
        </w:rPr>
        <w:t>в полетата, оцветени в жълто!</w:t>
      </w:r>
    </w:p>
    <w:p w14:paraId="6FBBF718" w14:textId="23B7B2FF" w:rsidR="00B01451" w:rsidRDefault="00722C8E">
      <w:pPr>
        <w:pStyle w:val="ListParagraph"/>
        <w:numPr>
          <w:ilvl w:val="0"/>
          <w:numId w:val="3"/>
        </w:numPr>
        <w:spacing w:after="120" w:line="360" w:lineRule="auto"/>
        <w:contextualSpacing w:val="0"/>
        <w:jc w:val="both"/>
        <w:rPr>
          <w:bCs/>
        </w:rPr>
      </w:pPr>
      <w:r>
        <w:rPr>
          <w:bCs/>
        </w:rPr>
        <w:t xml:space="preserve">Работен лист </w:t>
      </w:r>
      <w:r w:rsidRPr="00EB1788">
        <w:rPr>
          <w:b/>
        </w:rPr>
        <w:t>Еднократна сума</w:t>
      </w:r>
      <w:r>
        <w:rPr>
          <w:bCs/>
        </w:rPr>
        <w:t xml:space="preserve"> включва таблица, съдържаща всички допустими </w:t>
      </w:r>
      <w:proofErr w:type="spellStart"/>
      <w:r>
        <w:rPr>
          <w:bCs/>
        </w:rPr>
        <w:t>поддейности</w:t>
      </w:r>
      <w:proofErr w:type="spellEnd"/>
      <w:r>
        <w:rPr>
          <w:bCs/>
        </w:rPr>
        <w:t xml:space="preserve"> по процедурата. Чрез попълването на таблицата кандидатът следва да обоснове размера на безвъзмездната финансова помощ под формата на еднократна сума, за която кандидатства с проектното предложение.</w:t>
      </w:r>
      <w:r w:rsidR="00373D56">
        <w:rPr>
          <w:bCs/>
        </w:rPr>
        <w:t xml:space="preserve"> Единичните разходи съгласно ТЕРЕС</w:t>
      </w:r>
      <w:r w:rsidR="004F0706">
        <w:rPr>
          <w:bCs/>
        </w:rPr>
        <w:t>-</w:t>
      </w:r>
      <w:r w:rsidR="00373D56">
        <w:rPr>
          <w:bCs/>
        </w:rPr>
        <w:t>ПО</w:t>
      </w:r>
      <w:r w:rsidR="004F0706">
        <w:rPr>
          <w:bCs/>
        </w:rPr>
        <w:t>-</w:t>
      </w:r>
      <w:r w:rsidR="00373D56">
        <w:rPr>
          <w:bCs/>
        </w:rPr>
        <w:t>1.3</w:t>
      </w:r>
      <w:r w:rsidR="00C60FC5">
        <w:rPr>
          <w:bCs/>
        </w:rPr>
        <w:t>, които се прилагат за единица,</w:t>
      </w:r>
      <w:r w:rsidR="00373D56">
        <w:rPr>
          <w:bCs/>
        </w:rPr>
        <w:t xml:space="preserve"> са въведени </w:t>
      </w:r>
      <w:r w:rsidR="0053685A">
        <w:rPr>
          <w:bCs/>
        </w:rPr>
        <w:t xml:space="preserve">предварително </w:t>
      </w:r>
      <w:r w:rsidR="00373D56">
        <w:rPr>
          <w:bCs/>
        </w:rPr>
        <w:t>от УО</w:t>
      </w:r>
      <w:r w:rsidR="0053685A">
        <w:rPr>
          <w:bCs/>
        </w:rPr>
        <w:t xml:space="preserve"> и не </w:t>
      </w:r>
      <w:r w:rsidR="008B7BA9">
        <w:rPr>
          <w:bCs/>
        </w:rPr>
        <w:t>може</w:t>
      </w:r>
      <w:r w:rsidR="0053685A">
        <w:rPr>
          <w:bCs/>
        </w:rPr>
        <w:t xml:space="preserve"> да се променят</w:t>
      </w:r>
      <w:r w:rsidR="008B7BA9">
        <w:rPr>
          <w:bCs/>
        </w:rPr>
        <w:t xml:space="preserve"> от кандидатите</w:t>
      </w:r>
      <w:r w:rsidR="00373D56">
        <w:rPr>
          <w:bCs/>
        </w:rPr>
        <w:t>.</w:t>
      </w:r>
      <w:r>
        <w:rPr>
          <w:bCs/>
        </w:rPr>
        <w:t xml:space="preserve"> </w:t>
      </w:r>
    </w:p>
    <w:p w14:paraId="19033A99" w14:textId="64CDA30B" w:rsidR="00B01451" w:rsidRDefault="00722C8E">
      <w:pPr>
        <w:pStyle w:val="ListParagraph"/>
        <w:numPr>
          <w:ilvl w:val="0"/>
          <w:numId w:val="3"/>
        </w:numPr>
        <w:spacing w:after="120" w:line="360" w:lineRule="auto"/>
        <w:contextualSpacing w:val="0"/>
        <w:jc w:val="both"/>
        <w:rPr>
          <w:bCs/>
        </w:rPr>
      </w:pPr>
      <w:r>
        <w:rPr>
          <w:bCs/>
        </w:rPr>
        <w:t xml:space="preserve">В рамките на </w:t>
      </w:r>
      <w:proofErr w:type="spellStart"/>
      <w:r>
        <w:rPr>
          <w:bCs/>
        </w:rPr>
        <w:t>поддейност</w:t>
      </w:r>
      <w:proofErr w:type="spellEnd"/>
      <w:r>
        <w:rPr>
          <w:bCs/>
        </w:rPr>
        <w:t xml:space="preserve"> 1.1 кандидатът следва да въведе в съответните клетки в жълто в таблицата </w:t>
      </w:r>
      <w:r w:rsidR="00903B10">
        <w:rPr>
          <w:bCs/>
        </w:rPr>
        <w:t xml:space="preserve">информацията за допълнително назначените специалисти </w:t>
      </w:r>
      <w:r w:rsidR="00373D56">
        <w:rPr>
          <w:bCs/>
        </w:rPr>
        <w:t xml:space="preserve">по процедурата </w:t>
      </w:r>
      <w:r w:rsidR="00903B10">
        <w:rPr>
          <w:bCs/>
        </w:rPr>
        <w:t xml:space="preserve">към екипите за обхват съгласно инструкциите в таблицата: </w:t>
      </w:r>
      <w:r>
        <w:rPr>
          <w:bCs/>
        </w:rPr>
        <w:t xml:space="preserve">приравнен брой работни места с 4-часова заетост на ден и приравнен брой месеци, в които се поддържат тези работни места. След това се въвежда броят посещения на адрес извън работно време, като броят на адресите, планирани за посещение, се умножи по броя на </w:t>
      </w:r>
      <w:r w:rsidR="00903B10">
        <w:rPr>
          <w:bCs/>
        </w:rPr>
        <w:t xml:space="preserve">членовете на екипите за обхват, </w:t>
      </w:r>
      <w:r>
        <w:rPr>
          <w:bCs/>
        </w:rPr>
        <w:t>които се планира да участват в съответното посещение на адрес</w:t>
      </w:r>
      <w:r w:rsidR="00220D62">
        <w:rPr>
          <w:bCs/>
        </w:rPr>
        <w:t>, като</w:t>
      </w:r>
      <w:r w:rsidR="00AE5014">
        <w:rPr>
          <w:b/>
        </w:rPr>
        <w:t xml:space="preserve"> </w:t>
      </w:r>
      <w:r>
        <w:rPr>
          <w:bCs/>
        </w:rPr>
        <w:t>новоназначените допълнителни специалисти</w:t>
      </w:r>
      <w:r w:rsidR="00903B10">
        <w:rPr>
          <w:bCs/>
        </w:rPr>
        <w:t xml:space="preserve"> по процедурата</w:t>
      </w:r>
      <w:r>
        <w:rPr>
          <w:bCs/>
        </w:rPr>
        <w:t xml:space="preserve">, </w:t>
      </w:r>
      <w:r w:rsidR="00373D56">
        <w:rPr>
          <w:bCs/>
        </w:rPr>
        <w:t>с планирано</w:t>
      </w:r>
      <w:r w:rsidR="00903B10">
        <w:rPr>
          <w:bCs/>
        </w:rPr>
        <w:t xml:space="preserve"> </w:t>
      </w:r>
      <w:r>
        <w:rPr>
          <w:bCs/>
        </w:rPr>
        <w:t xml:space="preserve">месечно трудово възнаграждение по проекта, не се вземат предвид, тъй като те не могат да получават допълнително възнаграждение за посещение на адрес. Чрез заложените формули автоматично се определят общо допустимите преки разходи за персонал по </w:t>
      </w:r>
      <w:proofErr w:type="spellStart"/>
      <w:r>
        <w:rPr>
          <w:bCs/>
        </w:rPr>
        <w:t>поддейност</w:t>
      </w:r>
      <w:proofErr w:type="spellEnd"/>
      <w:r>
        <w:rPr>
          <w:bCs/>
        </w:rPr>
        <w:t xml:space="preserve"> 1.1 (клетка Н9, оцветена в синьо).</w:t>
      </w:r>
      <w:r w:rsidR="00903B10" w:rsidRPr="00903B10">
        <w:rPr>
          <w:bCs/>
        </w:rPr>
        <w:t xml:space="preserve"> </w:t>
      </w:r>
    </w:p>
    <w:p w14:paraId="2BEBC232" w14:textId="031604C8" w:rsidR="00B01451" w:rsidRDefault="00722C8E">
      <w:pPr>
        <w:pStyle w:val="ListParagraph"/>
        <w:numPr>
          <w:ilvl w:val="0"/>
          <w:numId w:val="3"/>
        </w:numPr>
        <w:spacing w:after="120" w:line="360" w:lineRule="auto"/>
        <w:contextualSpacing w:val="0"/>
        <w:jc w:val="both"/>
        <w:rPr>
          <w:bCs/>
        </w:rPr>
      </w:pPr>
      <w:bookmarkStart w:id="0" w:name="_Hlk151568555"/>
      <w:r>
        <w:rPr>
          <w:bCs/>
        </w:rPr>
        <w:t xml:space="preserve">За изчисляване на допустимите разходи за възнаграждения на наетите педагогически специалисти (ПС) </w:t>
      </w:r>
      <w:r w:rsidR="00CF51BE">
        <w:rPr>
          <w:bCs/>
        </w:rPr>
        <w:t>и/</w:t>
      </w:r>
      <w:r>
        <w:rPr>
          <w:bCs/>
        </w:rPr>
        <w:t xml:space="preserve">или експерти образователни дейности (ЕОД) за провеждане на всички видове събития по </w:t>
      </w:r>
      <w:proofErr w:type="spellStart"/>
      <w:r>
        <w:rPr>
          <w:bCs/>
        </w:rPr>
        <w:t>поддейност</w:t>
      </w:r>
      <w:proofErr w:type="spellEnd"/>
      <w:r>
        <w:rPr>
          <w:bCs/>
        </w:rPr>
        <w:t xml:space="preserve"> 1.3 и </w:t>
      </w:r>
      <w:proofErr w:type="spellStart"/>
      <w:r>
        <w:rPr>
          <w:bCs/>
        </w:rPr>
        <w:t>поддейност</w:t>
      </w:r>
      <w:proofErr w:type="spellEnd"/>
      <w:r>
        <w:rPr>
          <w:bCs/>
        </w:rPr>
        <w:t xml:space="preserve"> 1.4 в рамките на изпълнението на проекта се попълва планираният брой събития от съответния вид и след това планираният брой отработени астрономически часове общо за всички събития от съответния вид. Чрез заложените формули автоматично се </w:t>
      </w:r>
      <w:r>
        <w:rPr>
          <w:bCs/>
        </w:rPr>
        <w:lastRenderedPageBreak/>
        <w:t xml:space="preserve">определят общо допустимите преки разходи за персонал по </w:t>
      </w:r>
      <w:proofErr w:type="spellStart"/>
      <w:r>
        <w:rPr>
          <w:bCs/>
        </w:rPr>
        <w:t>поддейност</w:t>
      </w:r>
      <w:proofErr w:type="spellEnd"/>
      <w:r>
        <w:rPr>
          <w:bCs/>
        </w:rPr>
        <w:t xml:space="preserve"> 1.3 и </w:t>
      </w:r>
      <w:proofErr w:type="spellStart"/>
      <w:r>
        <w:rPr>
          <w:bCs/>
        </w:rPr>
        <w:t>поддейност</w:t>
      </w:r>
      <w:proofErr w:type="spellEnd"/>
      <w:r>
        <w:rPr>
          <w:bCs/>
        </w:rPr>
        <w:t xml:space="preserve"> 1.4 (клетки Н20 и Н27, оцветени в синьо).</w:t>
      </w:r>
    </w:p>
    <w:p w14:paraId="0E85BE00" w14:textId="3FF4CA04" w:rsidR="00B01451" w:rsidRDefault="00722C8E">
      <w:pPr>
        <w:pStyle w:val="ListParagraph"/>
        <w:numPr>
          <w:ilvl w:val="0"/>
          <w:numId w:val="3"/>
        </w:numPr>
        <w:spacing w:after="120" w:line="360" w:lineRule="auto"/>
        <w:contextualSpacing w:val="0"/>
        <w:jc w:val="both"/>
        <w:rPr>
          <w:bCs/>
        </w:rPr>
      </w:pPr>
      <w:r>
        <w:rPr>
          <w:bCs/>
        </w:rPr>
        <w:t xml:space="preserve">В жълтите полета в съответната част от таблицата кандидатът следва да попълни броя на планираните събития от всеки вид в рамките на </w:t>
      </w:r>
      <w:proofErr w:type="spellStart"/>
      <w:r>
        <w:rPr>
          <w:bCs/>
        </w:rPr>
        <w:t>поддейност</w:t>
      </w:r>
      <w:proofErr w:type="spellEnd"/>
      <w:r>
        <w:rPr>
          <w:bCs/>
        </w:rPr>
        <w:t xml:space="preserve"> 1.3 и </w:t>
      </w:r>
      <w:proofErr w:type="spellStart"/>
      <w:r>
        <w:rPr>
          <w:bCs/>
        </w:rPr>
        <w:t>поддейност</w:t>
      </w:r>
      <w:proofErr w:type="spellEnd"/>
      <w:r>
        <w:rPr>
          <w:bCs/>
        </w:rPr>
        <w:t xml:space="preserve"> 1.4. Тези стойности обосновават планираният брой отработени часове на наетите експерти, освен това те са важни за отчетността по проекта, тъй като въведеният брой на събитията се задава като крайна цел, съответно се разделя на етапни цели</w:t>
      </w:r>
      <w:r w:rsidR="00B00B62">
        <w:rPr>
          <w:bCs/>
        </w:rPr>
        <w:t xml:space="preserve"> </w:t>
      </w:r>
      <w:r w:rsidR="000E336E">
        <w:rPr>
          <w:bCs/>
        </w:rPr>
        <w:t xml:space="preserve">за всеки от отчетните периоди в работен лист „Етапи“ </w:t>
      </w:r>
      <w:r>
        <w:rPr>
          <w:bCs/>
        </w:rPr>
        <w:t>и е основание за извършване на плащане.</w:t>
      </w:r>
    </w:p>
    <w:p w14:paraId="3BD6C491" w14:textId="2CF6E04F" w:rsidR="00B01451" w:rsidRDefault="00722C8E">
      <w:pPr>
        <w:pStyle w:val="ListParagraph"/>
        <w:numPr>
          <w:ilvl w:val="0"/>
          <w:numId w:val="3"/>
        </w:numPr>
        <w:spacing w:after="120" w:line="360" w:lineRule="auto"/>
        <w:contextualSpacing w:val="0"/>
        <w:jc w:val="both"/>
        <w:rPr>
          <w:bCs/>
        </w:rPr>
      </w:pPr>
      <w:r>
        <w:rPr>
          <w:bCs/>
        </w:rPr>
        <w:t xml:space="preserve">Чрез заложена формула автоматично се изчислява </w:t>
      </w:r>
      <w:r w:rsidR="00ED2567">
        <w:rPr>
          <w:bCs/>
        </w:rPr>
        <w:t xml:space="preserve">размерът </w:t>
      </w:r>
      <w:r>
        <w:rPr>
          <w:bCs/>
        </w:rPr>
        <w:t xml:space="preserve">на допустимите други преки и непреки разходи за изпълнението на </w:t>
      </w:r>
      <w:proofErr w:type="spellStart"/>
      <w:r>
        <w:rPr>
          <w:bCs/>
        </w:rPr>
        <w:t>поддейност</w:t>
      </w:r>
      <w:proofErr w:type="spellEnd"/>
      <w:r>
        <w:rPr>
          <w:bCs/>
        </w:rPr>
        <w:t xml:space="preserve"> 1.1, </w:t>
      </w:r>
      <w:proofErr w:type="spellStart"/>
      <w:r>
        <w:rPr>
          <w:bCs/>
        </w:rPr>
        <w:t>поддейност</w:t>
      </w:r>
      <w:proofErr w:type="spellEnd"/>
      <w:r>
        <w:rPr>
          <w:bCs/>
        </w:rPr>
        <w:t xml:space="preserve"> 1.3 и </w:t>
      </w:r>
      <w:proofErr w:type="spellStart"/>
      <w:r>
        <w:rPr>
          <w:bCs/>
        </w:rPr>
        <w:t>поддейност</w:t>
      </w:r>
      <w:proofErr w:type="spellEnd"/>
      <w:r>
        <w:rPr>
          <w:bCs/>
        </w:rPr>
        <w:t xml:space="preserve"> 1.4 </w:t>
      </w:r>
      <w:r w:rsidR="00A14D7A">
        <w:rPr>
          <w:bCs/>
        </w:rPr>
        <w:t xml:space="preserve">в клетка </w:t>
      </w:r>
      <w:r w:rsidR="00A14D7A">
        <w:rPr>
          <w:bCs/>
          <w:lang w:val="en-US"/>
        </w:rPr>
        <w:t xml:space="preserve">H29 </w:t>
      </w:r>
      <w:r>
        <w:rPr>
          <w:bCs/>
        </w:rPr>
        <w:t>(прилагане на 40% единна ставка върху сбора на стойностите в клетки Н9, Н20 и Н27).</w:t>
      </w:r>
    </w:p>
    <w:p w14:paraId="393FBBDA" w14:textId="1607FCE9" w:rsidR="00B01451" w:rsidRDefault="00722C8E">
      <w:pPr>
        <w:pStyle w:val="ListParagraph"/>
        <w:numPr>
          <w:ilvl w:val="0"/>
          <w:numId w:val="3"/>
        </w:numPr>
        <w:spacing w:after="120" w:line="360" w:lineRule="auto"/>
        <w:contextualSpacing w:val="0"/>
        <w:jc w:val="both"/>
        <w:rPr>
          <w:bCs/>
        </w:rPr>
      </w:pPr>
      <w:bookmarkStart w:id="1" w:name="_Hlk152074508"/>
      <w:bookmarkEnd w:id="0"/>
      <w:r>
        <w:rPr>
          <w:bCs/>
        </w:rPr>
        <w:t xml:space="preserve">Въвеждат се планираният брой обучения от съответния вид, както и планираният общ брой обучени членове на екипи за обхват чрез съответния вид обучение в рамките на </w:t>
      </w:r>
      <w:proofErr w:type="spellStart"/>
      <w:r>
        <w:rPr>
          <w:bCs/>
        </w:rPr>
        <w:t>поддейност</w:t>
      </w:r>
      <w:proofErr w:type="spellEnd"/>
      <w:r>
        <w:rPr>
          <w:bCs/>
        </w:rPr>
        <w:t xml:space="preserve"> 1.2. В случай че кандидатът не планира да провежда няко</w:t>
      </w:r>
      <w:r w:rsidR="004C12F0">
        <w:rPr>
          <w:bCs/>
        </w:rPr>
        <w:t>е</w:t>
      </w:r>
      <w:r>
        <w:rPr>
          <w:bCs/>
        </w:rPr>
        <w:t xml:space="preserve"> от допустимите видове обучения, съответните жълти полета в таблицата не се попълват. Чрез заложените формули автоматично се определят общо допустимите преки разходи за </w:t>
      </w:r>
      <w:proofErr w:type="spellStart"/>
      <w:r>
        <w:rPr>
          <w:bCs/>
        </w:rPr>
        <w:t>поддейност</w:t>
      </w:r>
      <w:proofErr w:type="spellEnd"/>
      <w:r>
        <w:rPr>
          <w:bCs/>
        </w:rPr>
        <w:t xml:space="preserve"> 1.2 (клетка Н48, оцветена в синьо).</w:t>
      </w:r>
    </w:p>
    <w:p w14:paraId="5D16777B" w14:textId="4B7E31B0" w:rsidR="00B01451" w:rsidRDefault="00722C8E">
      <w:pPr>
        <w:pStyle w:val="ListParagraph"/>
        <w:numPr>
          <w:ilvl w:val="0"/>
          <w:numId w:val="3"/>
        </w:numPr>
        <w:spacing w:after="120" w:line="360" w:lineRule="auto"/>
        <w:contextualSpacing w:val="0"/>
        <w:jc w:val="both"/>
        <w:rPr>
          <w:bCs/>
        </w:rPr>
      </w:pPr>
      <w:r>
        <w:rPr>
          <w:bCs/>
        </w:rPr>
        <w:t xml:space="preserve">Чрез заложена формула автоматично се изчислява </w:t>
      </w:r>
      <w:r w:rsidR="00ED2567">
        <w:rPr>
          <w:bCs/>
        </w:rPr>
        <w:t xml:space="preserve">размерът </w:t>
      </w:r>
      <w:r>
        <w:rPr>
          <w:bCs/>
        </w:rPr>
        <w:t xml:space="preserve">на допустимите непреки разходи за изпълнението на </w:t>
      </w:r>
      <w:proofErr w:type="spellStart"/>
      <w:r>
        <w:rPr>
          <w:bCs/>
        </w:rPr>
        <w:t>поддейност</w:t>
      </w:r>
      <w:proofErr w:type="spellEnd"/>
      <w:r>
        <w:rPr>
          <w:bCs/>
        </w:rPr>
        <w:t xml:space="preserve"> 1.2 (прилагане на 7% единна ставка върху стойността в клетка Н48).</w:t>
      </w:r>
    </w:p>
    <w:p w14:paraId="41F288FE" w14:textId="4AE5492C" w:rsidR="00B01451" w:rsidRDefault="00722C8E">
      <w:pPr>
        <w:pStyle w:val="ListParagraph"/>
        <w:numPr>
          <w:ilvl w:val="0"/>
          <w:numId w:val="3"/>
        </w:numPr>
        <w:spacing w:after="120" w:line="360" w:lineRule="auto"/>
        <w:contextualSpacing w:val="0"/>
        <w:jc w:val="both"/>
        <w:rPr>
          <w:bCs/>
        </w:rPr>
      </w:pPr>
      <w:r>
        <w:rPr>
          <w:bCs/>
        </w:rPr>
        <w:t>След въвеждане на планираните стойности във всички полета, оцветени в жълто, чрез заложена формула автоматично се изчислява</w:t>
      </w:r>
      <w:r w:rsidR="00ED2567">
        <w:rPr>
          <w:bCs/>
        </w:rPr>
        <w:t xml:space="preserve"> общият размер на разходи</w:t>
      </w:r>
      <w:r w:rsidR="002707B0">
        <w:rPr>
          <w:bCs/>
        </w:rPr>
        <w:t>те, обосновани с планираните дейности</w:t>
      </w:r>
      <w:r>
        <w:rPr>
          <w:bCs/>
        </w:rPr>
        <w:t xml:space="preserve"> (клетка Н50).</w:t>
      </w:r>
      <w:r w:rsidR="002707B0">
        <w:rPr>
          <w:bCs/>
        </w:rPr>
        <w:t xml:space="preserve"> </w:t>
      </w:r>
    </w:p>
    <w:p w14:paraId="1442FC26" w14:textId="4394CD9C" w:rsidR="002707B0" w:rsidRDefault="002707B0">
      <w:pPr>
        <w:pStyle w:val="ListParagraph"/>
        <w:numPr>
          <w:ilvl w:val="0"/>
          <w:numId w:val="3"/>
        </w:numPr>
        <w:spacing w:after="120" w:line="360" w:lineRule="auto"/>
        <w:contextualSpacing w:val="0"/>
        <w:jc w:val="both"/>
        <w:rPr>
          <w:bCs/>
        </w:rPr>
      </w:pPr>
      <w:r w:rsidRPr="002707B0">
        <w:rPr>
          <w:bCs/>
        </w:rPr>
        <w:t xml:space="preserve">Чрез заложената формула на ред „Общо планиран бюджет (след приложена индексация от 15 % на сумата  в клетка H50)“ </w:t>
      </w:r>
      <w:r>
        <w:rPr>
          <w:bCs/>
        </w:rPr>
        <w:t>общият размер на разходите по планираните дейности се индексира с 15% и това е</w:t>
      </w:r>
      <w:r w:rsidRPr="002707B0">
        <w:rPr>
          <w:bCs/>
        </w:rPr>
        <w:t xml:space="preserve"> </w:t>
      </w:r>
      <w:r>
        <w:rPr>
          <w:bCs/>
        </w:rPr>
        <w:t>бюджетът на проектното предложение</w:t>
      </w:r>
      <w:r w:rsidR="000D78B8">
        <w:rPr>
          <w:bCs/>
        </w:rPr>
        <w:t xml:space="preserve">. </w:t>
      </w:r>
    </w:p>
    <w:bookmarkEnd w:id="1"/>
    <w:p w14:paraId="5965F11A" w14:textId="77777777" w:rsidR="00B01451" w:rsidRDefault="00B01451">
      <w:pPr>
        <w:spacing w:line="360" w:lineRule="auto"/>
        <w:ind w:firstLine="709"/>
        <w:jc w:val="both"/>
      </w:pPr>
    </w:p>
    <w:p w14:paraId="36DF5C05" w14:textId="03473298" w:rsidR="00B01451" w:rsidRDefault="00722C8E">
      <w:pPr>
        <w:pStyle w:val="Style1"/>
        <w:rPr>
          <w:i/>
          <w:iCs/>
        </w:rPr>
      </w:pPr>
      <w:r>
        <w:lastRenderedPageBreak/>
        <w:t>3. Попълване на Помощната таблица</w:t>
      </w:r>
      <w:r w:rsidR="00461808">
        <w:t xml:space="preserve"> ДОВД</w:t>
      </w:r>
      <w:r>
        <w:t xml:space="preserve"> – работен лист </w:t>
      </w:r>
      <w:r>
        <w:rPr>
          <w:i/>
          <w:iCs/>
        </w:rPr>
        <w:t xml:space="preserve">Индикатори </w:t>
      </w:r>
    </w:p>
    <w:p w14:paraId="31DA0309" w14:textId="77777777" w:rsidR="00B01451" w:rsidRDefault="00B01451"/>
    <w:p w14:paraId="13B3343C" w14:textId="77777777" w:rsidR="00B01451" w:rsidRDefault="00722C8E">
      <w:pPr>
        <w:spacing w:after="120" w:line="360" w:lineRule="auto"/>
        <w:jc w:val="both"/>
        <w:rPr>
          <w:b/>
        </w:rPr>
      </w:pPr>
      <w:r>
        <w:rPr>
          <w:b/>
        </w:rPr>
        <w:t xml:space="preserve">Въвеждат се данни </w:t>
      </w:r>
      <w:r>
        <w:rPr>
          <w:b/>
          <w:u w:val="single"/>
        </w:rPr>
        <w:t>само</w:t>
      </w:r>
      <w:r>
        <w:rPr>
          <w:b/>
        </w:rPr>
        <w:t xml:space="preserve"> в полетата, оцветени в жълто!</w:t>
      </w:r>
    </w:p>
    <w:p w14:paraId="39E3A0C9" w14:textId="77777777" w:rsidR="00B01451" w:rsidRDefault="00722C8E">
      <w:pPr>
        <w:pStyle w:val="ListParagraph"/>
        <w:numPr>
          <w:ilvl w:val="0"/>
          <w:numId w:val="4"/>
        </w:numPr>
        <w:spacing w:line="360" w:lineRule="auto"/>
        <w:jc w:val="both"/>
        <w:rPr>
          <w:bCs/>
        </w:rPr>
      </w:pPr>
      <w:r>
        <w:rPr>
          <w:bCs/>
        </w:rPr>
        <w:t>Въвеждат се стойностите на индикаторите, които конкретният бенефициент-РУО планира да постигне при изпълнение на планираните дейности в рамките на проектното предложение и в съответствие с параметрите, заложени в работен лист Еднократна сума.</w:t>
      </w:r>
    </w:p>
    <w:p w14:paraId="6C9C12F0" w14:textId="6E9F4ADF" w:rsidR="00B01451" w:rsidRDefault="00722C8E">
      <w:pPr>
        <w:pStyle w:val="ListParagraph"/>
        <w:numPr>
          <w:ilvl w:val="0"/>
          <w:numId w:val="4"/>
        </w:numPr>
        <w:spacing w:line="360" w:lineRule="auto"/>
        <w:jc w:val="both"/>
        <w:rPr>
          <w:bCs/>
        </w:rPr>
      </w:pPr>
      <w:r>
        <w:rPr>
          <w:bCs/>
        </w:rPr>
        <w:t xml:space="preserve">В поле </w:t>
      </w:r>
      <w:r w:rsidR="002C699B">
        <w:rPr>
          <w:bCs/>
        </w:rPr>
        <w:t>„</w:t>
      </w:r>
      <w:r>
        <w:rPr>
          <w:bCs/>
        </w:rPr>
        <w:t>Обосновка</w:t>
      </w:r>
      <w:r w:rsidR="002C699B">
        <w:rPr>
          <w:bCs/>
        </w:rPr>
        <w:t>“</w:t>
      </w:r>
      <w:r>
        <w:rPr>
          <w:bCs/>
        </w:rPr>
        <w:t xml:space="preserve"> кандидатът посочва точно в коя част на проектното предложение, въведено в ИСУН, е обоснована планираната стойност на индикатора - въвежда се </w:t>
      </w:r>
      <w:proofErr w:type="spellStart"/>
      <w:r>
        <w:rPr>
          <w:bCs/>
        </w:rPr>
        <w:t>поддейност</w:t>
      </w:r>
      <w:proofErr w:type="spellEnd"/>
      <w:r>
        <w:rPr>
          <w:bCs/>
        </w:rPr>
        <w:t>, с която е свързан съответният индикатор и след това в кое конкретно поле и точка на описанието е обоснована целевата стойност на индикатора.</w:t>
      </w:r>
    </w:p>
    <w:p w14:paraId="2B27D053" w14:textId="2CF6D3EE" w:rsidR="00B01451" w:rsidRDefault="00722C8E">
      <w:pPr>
        <w:pStyle w:val="Style1"/>
        <w:rPr>
          <w:i/>
          <w:iCs/>
        </w:rPr>
      </w:pPr>
      <w:r>
        <w:rPr>
          <w:lang w:val="en-US"/>
        </w:rPr>
        <w:t>4</w:t>
      </w:r>
      <w:r>
        <w:t xml:space="preserve">. Попълване на Помощната таблица </w:t>
      </w:r>
      <w:r w:rsidR="00461808">
        <w:t xml:space="preserve">ДОВД </w:t>
      </w:r>
      <w:r>
        <w:t xml:space="preserve">– работен лист </w:t>
      </w:r>
      <w:r>
        <w:rPr>
          <w:i/>
          <w:iCs/>
        </w:rPr>
        <w:t xml:space="preserve">Етапи </w:t>
      </w:r>
    </w:p>
    <w:p w14:paraId="316FB7C0" w14:textId="77777777" w:rsidR="00B01451" w:rsidRDefault="00B01451"/>
    <w:p w14:paraId="25E9120D" w14:textId="4D7B0933" w:rsidR="00B01451" w:rsidRDefault="00722C8E">
      <w:pPr>
        <w:spacing w:after="120" w:line="360" w:lineRule="auto"/>
        <w:jc w:val="both"/>
        <w:rPr>
          <w:b/>
        </w:rPr>
      </w:pPr>
      <w:r>
        <w:rPr>
          <w:b/>
        </w:rPr>
        <w:t xml:space="preserve">Въвеждат се данни </w:t>
      </w:r>
      <w:r>
        <w:rPr>
          <w:b/>
          <w:u w:val="single"/>
        </w:rPr>
        <w:t>само</w:t>
      </w:r>
      <w:r>
        <w:rPr>
          <w:b/>
        </w:rPr>
        <w:t xml:space="preserve"> в полетата, оцветени в жълто!</w:t>
      </w:r>
    </w:p>
    <w:p w14:paraId="79663344" w14:textId="41F828FB" w:rsidR="00B01451" w:rsidRPr="00325C6D" w:rsidRDefault="00722C8E">
      <w:pPr>
        <w:pStyle w:val="ListParagraph"/>
        <w:numPr>
          <w:ilvl w:val="0"/>
          <w:numId w:val="5"/>
        </w:numPr>
        <w:spacing w:line="360" w:lineRule="auto"/>
        <w:jc w:val="both"/>
        <w:rPr>
          <w:bCs/>
        </w:rPr>
      </w:pPr>
      <w:r w:rsidRPr="00325C6D">
        <w:rPr>
          <w:bCs/>
        </w:rPr>
        <w:t xml:space="preserve">Чрез работен лист Етапи кандидатът следва да планира изпълнението на проекта </w:t>
      </w:r>
      <w:r w:rsidR="00FE56F5">
        <w:t xml:space="preserve">за </w:t>
      </w:r>
      <w:r w:rsidR="002C699B">
        <w:t>не повече от</w:t>
      </w:r>
      <w:r w:rsidR="002C699B" w:rsidRPr="00325C6D">
        <w:t xml:space="preserve"> </w:t>
      </w:r>
      <w:r w:rsidR="002C699B">
        <w:t>6 отчетни периода</w:t>
      </w:r>
      <w:r w:rsidR="00FE56F5">
        <w:t>, съответстващи на бро</w:t>
      </w:r>
      <w:r w:rsidR="007C74BE">
        <w:t xml:space="preserve">я обхванати </w:t>
      </w:r>
      <w:r w:rsidR="00FE56F5">
        <w:t xml:space="preserve"> учебни срок</w:t>
      </w:r>
      <w:r w:rsidR="00FF3374">
        <w:t>ове</w:t>
      </w:r>
      <w:r w:rsidR="002C699B">
        <w:t xml:space="preserve"> като за всеки от тях залага стойност на индикаторите и на другите количествени показатели съгласно инструкциите в този работен лист</w:t>
      </w:r>
      <w:r w:rsidR="00FE56F5">
        <w:t xml:space="preserve"> и т. 14.2. от Условията за кандидатстване</w:t>
      </w:r>
      <w:r w:rsidR="002C699B">
        <w:t>.</w:t>
      </w:r>
      <w:r w:rsidR="00FE56F5">
        <w:t xml:space="preserve"> </w:t>
      </w:r>
      <w:r w:rsidRPr="00325C6D">
        <w:t xml:space="preserve">. Тъй като се очаква планираните дейности да бъдат в най-голям обем през първия учебен срок, а след това да са разпределени сравнително равномерно, по този начин е определено и дяловото разпределение на средствата между </w:t>
      </w:r>
      <w:r w:rsidR="002C699B">
        <w:t>отчетните периоди/</w:t>
      </w:r>
      <w:r w:rsidRPr="00325C6D">
        <w:t xml:space="preserve"> – при изпълнение на етапните цели за първия учебен срок се предвижда кандидатът да може да заяви възстановяване на </w:t>
      </w:r>
      <w:r w:rsidRPr="00A44000">
        <w:t>20% от еднократната сума</w:t>
      </w:r>
      <w:r w:rsidR="00FE56F5" w:rsidRPr="00A44000">
        <w:t>. Остатъкът от 80 % от еднократната сума</w:t>
      </w:r>
      <w:r w:rsidR="00FE56F5" w:rsidRPr="00FE56F5">
        <w:t xml:space="preserve"> се разпределя равномерно между останалите отчетни периоди – например, при продължителност на проекта от 36 месеца за втори-шести отчетен период се възстановява по 16 % от еднократната сума</w:t>
      </w:r>
    </w:p>
    <w:p w14:paraId="60C9C0E5" w14:textId="1C268A5F" w:rsidR="00B01451" w:rsidRPr="00325C6D" w:rsidRDefault="00722C8E" w:rsidP="00AE4D56">
      <w:pPr>
        <w:pStyle w:val="ListParagraph"/>
        <w:numPr>
          <w:ilvl w:val="0"/>
          <w:numId w:val="5"/>
        </w:numPr>
        <w:spacing w:before="240" w:line="360" w:lineRule="auto"/>
        <w:ind w:left="1066"/>
        <w:jc w:val="both"/>
        <w:rPr>
          <w:bCs/>
        </w:rPr>
      </w:pPr>
      <w:r w:rsidRPr="00325C6D">
        <w:t>Стойността за целия срок на проекта, посочена за съответния индикатор в работен лист Индикатори или съответно за друг количествен показател в работен лист Еднократна сума, се разпределя между отчет</w:t>
      </w:r>
      <w:r w:rsidR="00DF7A1E">
        <w:t>ните периоди</w:t>
      </w:r>
      <w:r w:rsidRPr="00325C6D">
        <w:t xml:space="preserve">. </w:t>
      </w:r>
      <w:r w:rsidR="00E438FC" w:rsidRPr="00E438FC">
        <w:t xml:space="preserve">Всяка етапна цел се определя с натрупване от началото на проекта до момента на отчитане и се планира да бъде постигната към 1 февруари или съответно, към 1 септември, на съответната </w:t>
      </w:r>
      <w:r w:rsidR="00E438FC" w:rsidRPr="00E438FC">
        <w:lastRenderedPageBreak/>
        <w:t>календарна година, а крайната цел (равна на последната етапна цел) се отчита с окончателния отчет</w:t>
      </w:r>
    </w:p>
    <w:p w14:paraId="36FA0183" w14:textId="0D97113E" w:rsidR="00B01451" w:rsidRPr="00325C6D" w:rsidRDefault="00722C8E" w:rsidP="00AE4D56">
      <w:pPr>
        <w:pStyle w:val="ListParagraph"/>
        <w:numPr>
          <w:ilvl w:val="0"/>
          <w:numId w:val="5"/>
        </w:numPr>
        <w:spacing w:before="240" w:line="360" w:lineRule="auto"/>
        <w:ind w:left="1066"/>
        <w:jc w:val="both"/>
        <w:rPr>
          <w:bCs/>
        </w:rPr>
      </w:pPr>
      <w:r w:rsidRPr="00325C6D">
        <w:t xml:space="preserve">За всеки </w:t>
      </w:r>
      <w:r w:rsidR="00E438FC">
        <w:t>отчетен период</w:t>
      </w:r>
      <w:r w:rsidR="00E438FC" w:rsidRPr="00325C6D">
        <w:t xml:space="preserve"> </w:t>
      </w:r>
      <w:r w:rsidRPr="00325C6D">
        <w:t>задължително се задава нова по-висока стойност (в сравнение с предишния етап) на индикаторите за краен продукт (SOI 1.1, SOI 1.3, SOI 1.5 и EECO15).</w:t>
      </w:r>
    </w:p>
    <w:p w14:paraId="3018BCC8" w14:textId="77777777" w:rsidR="00B01451" w:rsidRPr="00325C6D" w:rsidRDefault="00722C8E" w:rsidP="00AE4D56">
      <w:pPr>
        <w:pStyle w:val="ListParagraph"/>
        <w:numPr>
          <w:ilvl w:val="0"/>
          <w:numId w:val="5"/>
        </w:numPr>
        <w:spacing w:before="240" w:line="360" w:lineRule="auto"/>
        <w:ind w:left="1066"/>
        <w:jc w:val="both"/>
        <w:rPr>
          <w:bCs/>
        </w:rPr>
      </w:pPr>
      <w:r w:rsidRPr="00325C6D">
        <w:t>За индикатора за резултат SRI 1.1, както и за допълнителните количествени показатели задължително се задава нова по-висока стойност (в сравнение с предишния етап) за етапите, които се отчитат след 1 септември (т.е. по преценка на кандидата за етапите, които се отчитат след 1 февруари, може да не се задават нови по-високи стойности).</w:t>
      </w:r>
    </w:p>
    <w:p w14:paraId="400F155B" w14:textId="29428B0A" w:rsidR="00B01451" w:rsidRPr="00325C6D" w:rsidRDefault="00722C8E">
      <w:pPr>
        <w:pStyle w:val="ListParagraph"/>
        <w:numPr>
          <w:ilvl w:val="0"/>
          <w:numId w:val="5"/>
        </w:numPr>
        <w:spacing w:line="360" w:lineRule="auto"/>
        <w:jc w:val="both"/>
        <w:rPr>
          <w:bCs/>
        </w:rPr>
      </w:pPr>
      <w:r w:rsidRPr="00325C6D">
        <w:t>В случай, че предложеното от кандидата разпределение на някой индикатор/показател е твърде непропорционално и не е убедително обосновано, оценителната комисия може служебно да промени заложените стойности, като заложи пропорционално разпределение на съответния индикатор или показател</w:t>
      </w:r>
      <w:r w:rsidRPr="00325C6D">
        <w:rPr>
          <w:bCs/>
        </w:rPr>
        <w:t>.</w:t>
      </w:r>
    </w:p>
    <w:p w14:paraId="1DB30F97" w14:textId="77777777" w:rsidR="00B01451" w:rsidRDefault="00B01451">
      <w:pPr>
        <w:spacing w:after="120" w:line="360" w:lineRule="auto"/>
        <w:jc w:val="both"/>
        <w:rPr>
          <w:bCs/>
        </w:rPr>
      </w:pPr>
    </w:p>
    <w:p w14:paraId="7969CAED" w14:textId="77777777" w:rsidR="00B01451" w:rsidRDefault="00B01451">
      <w:pPr>
        <w:spacing w:line="360" w:lineRule="auto"/>
        <w:ind w:firstLine="709"/>
        <w:jc w:val="both"/>
      </w:pPr>
    </w:p>
    <w:sectPr w:rsidR="00B01451">
      <w:footerReference w:type="default" r:id="rId8"/>
      <w:pgSz w:w="12240" w:h="15840"/>
      <w:pgMar w:top="1134" w:right="1134" w:bottom="1134" w:left="1440" w:header="709" w:footer="54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C52AF" w14:textId="77777777" w:rsidR="002554F2" w:rsidRDefault="002554F2">
      <w:r>
        <w:separator/>
      </w:r>
    </w:p>
  </w:endnote>
  <w:endnote w:type="continuationSeparator" w:id="0">
    <w:p w14:paraId="441177AD" w14:textId="77777777" w:rsidR="002554F2" w:rsidRDefault="00255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9211845"/>
    </w:sdtPr>
    <w:sdtEndPr/>
    <w:sdtContent>
      <w:p w14:paraId="11DBD1D9" w14:textId="77777777" w:rsidR="00B01451" w:rsidRDefault="00722C8E">
        <w:pPr>
          <w:pStyle w:val="Footer"/>
          <w:jc w:val="right"/>
        </w:pPr>
        <w:r>
          <w:fldChar w:fldCharType="begin"/>
        </w:r>
        <w:r>
          <w:instrText xml:space="preserve"> PAGE   \* MERGEFORMAT </w:instrText>
        </w:r>
        <w:r>
          <w:fldChar w:fldCharType="separate"/>
        </w:r>
        <w:r>
          <w:t>2</w:t>
        </w:r>
        <w:r>
          <w:fldChar w:fldCharType="end"/>
        </w:r>
      </w:p>
    </w:sdtContent>
  </w:sdt>
  <w:p w14:paraId="390E3797" w14:textId="77777777" w:rsidR="00B01451" w:rsidRDefault="00B014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69377" w14:textId="77777777" w:rsidR="002554F2" w:rsidRDefault="002554F2">
      <w:r>
        <w:separator/>
      </w:r>
    </w:p>
  </w:footnote>
  <w:footnote w:type="continuationSeparator" w:id="0">
    <w:p w14:paraId="5DEB43E8" w14:textId="77777777" w:rsidR="002554F2" w:rsidRDefault="002554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D0FEB8"/>
    <w:multiLevelType w:val="singleLevel"/>
    <w:tmpl w:val="86D0FEB8"/>
    <w:lvl w:ilvl="0">
      <w:start w:val="1"/>
      <w:numFmt w:val="decimal"/>
      <w:suff w:val="space"/>
      <w:lvlText w:val="%1."/>
      <w:lvlJc w:val="left"/>
    </w:lvl>
  </w:abstractNum>
  <w:abstractNum w:abstractNumId="1" w15:restartNumberingAfterBreak="0">
    <w:nsid w:val="39930120"/>
    <w:multiLevelType w:val="multilevel"/>
    <w:tmpl w:val="39930120"/>
    <w:lvl w:ilvl="0">
      <w:start w:val="1"/>
      <w:numFmt w:val="decimal"/>
      <w:lvlText w:val="%1."/>
      <w:lvlJc w:val="left"/>
      <w:pPr>
        <w:ind w:left="1068" w:hanging="360"/>
      </w:pPr>
      <w:rPr>
        <w:rFonts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 w15:restartNumberingAfterBreak="0">
    <w:nsid w:val="4BA128F8"/>
    <w:multiLevelType w:val="multilevel"/>
    <w:tmpl w:val="4BA128F8"/>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60FC5E13"/>
    <w:multiLevelType w:val="multilevel"/>
    <w:tmpl w:val="60FC5E13"/>
    <w:lvl w:ilvl="0">
      <w:start w:val="1"/>
      <w:numFmt w:val="decimal"/>
      <w:lvlText w:val="%1."/>
      <w:lvlJc w:val="left"/>
      <w:pPr>
        <w:ind w:left="1069" w:hanging="360"/>
      </w:pPr>
      <w:rPr>
        <w:rFonts w:hint="default"/>
        <w:b w:val="0"/>
        <w:bCs/>
        <w:i w:val="0"/>
        <w:iCs w:val="0"/>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15:restartNumberingAfterBreak="0">
    <w:nsid w:val="76451530"/>
    <w:multiLevelType w:val="multilevel"/>
    <w:tmpl w:val="76451530"/>
    <w:lvl w:ilvl="0">
      <w:start w:val="1"/>
      <w:numFmt w:val="decimal"/>
      <w:lvlText w:val="%1."/>
      <w:lvlJc w:val="left"/>
      <w:pPr>
        <w:ind w:left="1069" w:hanging="360"/>
      </w:pPr>
      <w:rPr>
        <w:rFonts w:hint="default"/>
      </w:rPr>
    </w:lvl>
    <w:lvl w:ilvl="1">
      <w:numFmt w:val="bullet"/>
      <w:lvlText w:val="-"/>
      <w:lvlJc w:val="left"/>
      <w:pPr>
        <w:ind w:left="1789" w:hanging="360"/>
      </w:pPr>
      <w:rPr>
        <w:rFonts w:ascii="Times New Roman" w:eastAsia="Times New Roman" w:hAnsi="Times New Roman" w:cs="Times New Roman" w:hint="default"/>
      </w:r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6959"/>
    <w:rsid w:val="00000D2B"/>
    <w:rsid w:val="00001981"/>
    <w:rsid w:val="0000286A"/>
    <w:rsid w:val="0000300C"/>
    <w:rsid w:val="00004D5A"/>
    <w:rsid w:val="00017F03"/>
    <w:rsid w:val="00020102"/>
    <w:rsid w:val="0002089F"/>
    <w:rsid w:val="00020E31"/>
    <w:rsid w:val="00021382"/>
    <w:rsid w:val="00027833"/>
    <w:rsid w:val="0003771B"/>
    <w:rsid w:val="0004587B"/>
    <w:rsid w:val="00056810"/>
    <w:rsid w:val="00057E6E"/>
    <w:rsid w:val="00073150"/>
    <w:rsid w:val="00077C73"/>
    <w:rsid w:val="00081918"/>
    <w:rsid w:val="0008630F"/>
    <w:rsid w:val="00087438"/>
    <w:rsid w:val="000941A5"/>
    <w:rsid w:val="00094FBF"/>
    <w:rsid w:val="000B3EEF"/>
    <w:rsid w:val="000B75F9"/>
    <w:rsid w:val="000C5035"/>
    <w:rsid w:val="000C6202"/>
    <w:rsid w:val="000C64B3"/>
    <w:rsid w:val="000C6A46"/>
    <w:rsid w:val="000D2B3C"/>
    <w:rsid w:val="000D78B8"/>
    <w:rsid w:val="000E29A4"/>
    <w:rsid w:val="000E336E"/>
    <w:rsid w:val="000E5A85"/>
    <w:rsid w:val="000F0C21"/>
    <w:rsid w:val="000F1991"/>
    <w:rsid w:val="000F482F"/>
    <w:rsid w:val="0010065F"/>
    <w:rsid w:val="00101F66"/>
    <w:rsid w:val="001026D3"/>
    <w:rsid w:val="00102919"/>
    <w:rsid w:val="00105092"/>
    <w:rsid w:val="0010717A"/>
    <w:rsid w:val="00131E50"/>
    <w:rsid w:val="0014617B"/>
    <w:rsid w:val="00146B0C"/>
    <w:rsid w:val="00150D19"/>
    <w:rsid w:val="00152CED"/>
    <w:rsid w:val="00157E34"/>
    <w:rsid w:val="001604DC"/>
    <w:rsid w:val="001649EE"/>
    <w:rsid w:val="001651D7"/>
    <w:rsid w:val="00175A54"/>
    <w:rsid w:val="00176185"/>
    <w:rsid w:val="00177646"/>
    <w:rsid w:val="0018796A"/>
    <w:rsid w:val="001944CA"/>
    <w:rsid w:val="001953F3"/>
    <w:rsid w:val="00196C49"/>
    <w:rsid w:val="001A2E8E"/>
    <w:rsid w:val="001A33EA"/>
    <w:rsid w:val="001A3482"/>
    <w:rsid w:val="001A4F26"/>
    <w:rsid w:val="001B5771"/>
    <w:rsid w:val="001C2B17"/>
    <w:rsid w:val="001C3AD4"/>
    <w:rsid w:val="001C3D79"/>
    <w:rsid w:val="001E0202"/>
    <w:rsid w:val="001E086B"/>
    <w:rsid w:val="00201661"/>
    <w:rsid w:val="002134FB"/>
    <w:rsid w:val="002137D2"/>
    <w:rsid w:val="002200A8"/>
    <w:rsid w:val="00220D62"/>
    <w:rsid w:val="00221593"/>
    <w:rsid w:val="0022228B"/>
    <w:rsid w:val="00224C1A"/>
    <w:rsid w:val="00236F86"/>
    <w:rsid w:val="00242C8D"/>
    <w:rsid w:val="002435D2"/>
    <w:rsid w:val="002469F8"/>
    <w:rsid w:val="002554F2"/>
    <w:rsid w:val="00260D4A"/>
    <w:rsid w:val="00264068"/>
    <w:rsid w:val="00267D0B"/>
    <w:rsid w:val="002701E0"/>
    <w:rsid w:val="002707B0"/>
    <w:rsid w:val="00273055"/>
    <w:rsid w:val="002752F2"/>
    <w:rsid w:val="00280E98"/>
    <w:rsid w:val="002922FF"/>
    <w:rsid w:val="0029579E"/>
    <w:rsid w:val="00295FDB"/>
    <w:rsid w:val="002A55D3"/>
    <w:rsid w:val="002A58A0"/>
    <w:rsid w:val="002B74C6"/>
    <w:rsid w:val="002C01BC"/>
    <w:rsid w:val="002C04ED"/>
    <w:rsid w:val="002C0FD5"/>
    <w:rsid w:val="002C15B5"/>
    <w:rsid w:val="002C360C"/>
    <w:rsid w:val="002C699B"/>
    <w:rsid w:val="002D288E"/>
    <w:rsid w:val="002D3AAA"/>
    <w:rsid w:val="002D5179"/>
    <w:rsid w:val="002D6854"/>
    <w:rsid w:val="002D6D4C"/>
    <w:rsid w:val="002E194A"/>
    <w:rsid w:val="002E5921"/>
    <w:rsid w:val="002F18C6"/>
    <w:rsid w:val="002F293D"/>
    <w:rsid w:val="00306439"/>
    <w:rsid w:val="00306548"/>
    <w:rsid w:val="00307B38"/>
    <w:rsid w:val="00314726"/>
    <w:rsid w:val="00314BFA"/>
    <w:rsid w:val="003219F8"/>
    <w:rsid w:val="00325C6D"/>
    <w:rsid w:val="00330603"/>
    <w:rsid w:val="003309A0"/>
    <w:rsid w:val="00330D0C"/>
    <w:rsid w:val="00331E12"/>
    <w:rsid w:val="00334568"/>
    <w:rsid w:val="00344CF9"/>
    <w:rsid w:val="0035299E"/>
    <w:rsid w:val="00352A16"/>
    <w:rsid w:val="0036636A"/>
    <w:rsid w:val="003664DC"/>
    <w:rsid w:val="00373D56"/>
    <w:rsid w:val="00377286"/>
    <w:rsid w:val="0037761E"/>
    <w:rsid w:val="0038153B"/>
    <w:rsid w:val="00384108"/>
    <w:rsid w:val="00387D73"/>
    <w:rsid w:val="00390175"/>
    <w:rsid w:val="00395C4A"/>
    <w:rsid w:val="003A10FA"/>
    <w:rsid w:val="003A1BC7"/>
    <w:rsid w:val="003A29E3"/>
    <w:rsid w:val="003A476A"/>
    <w:rsid w:val="003A7EFD"/>
    <w:rsid w:val="003B2509"/>
    <w:rsid w:val="003B4AAE"/>
    <w:rsid w:val="003C3940"/>
    <w:rsid w:val="003D3D95"/>
    <w:rsid w:val="003D6D98"/>
    <w:rsid w:val="003E2CBA"/>
    <w:rsid w:val="003E64CC"/>
    <w:rsid w:val="003F1DEA"/>
    <w:rsid w:val="003F544B"/>
    <w:rsid w:val="004017BB"/>
    <w:rsid w:val="004027A8"/>
    <w:rsid w:val="004043AF"/>
    <w:rsid w:val="0041284B"/>
    <w:rsid w:val="004148EB"/>
    <w:rsid w:val="004162CD"/>
    <w:rsid w:val="00417CB9"/>
    <w:rsid w:val="00421A36"/>
    <w:rsid w:val="00427187"/>
    <w:rsid w:val="00430387"/>
    <w:rsid w:val="0044453A"/>
    <w:rsid w:val="00451562"/>
    <w:rsid w:val="00452D9C"/>
    <w:rsid w:val="00456839"/>
    <w:rsid w:val="00456A4B"/>
    <w:rsid w:val="004613B8"/>
    <w:rsid w:val="00461808"/>
    <w:rsid w:val="004627B5"/>
    <w:rsid w:val="00464192"/>
    <w:rsid w:val="0046519B"/>
    <w:rsid w:val="004711CD"/>
    <w:rsid w:val="00480E72"/>
    <w:rsid w:val="0048177C"/>
    <w:rsid w:val="00481BFA"/>
    <w:rsid w:val="00481D30"/>
    <w:rsid w:val="00491A98"/>
    <w:rsid w:val="00494B35"/>
    <w:rsid w:val="004966A4"/>
    <w:rsid w:val="004A02FC"/>
    <w:rsid w:val="004A2443"/>
    <w:rsid w:val="004A2820"/>
    <w:rsid w:val="004A5BAD"/>
    <w:rsid w:val="004B5DE9"/>
    <w:rsid w:val="004B7EAC"/>
    <w:rsid w:val="004C12F0"/>
    <w:rsid w:val="004D253C"/>
    <w:rsid w:val="004D44E7"/>
    <w:rsid w:val="004D723D"/>
    <w:rsid w:val="004E018A"/>
    <w:rsid w:val="004E3CC2"/>
    <w:rsid w:val="004E4056"/>
    <w:rsid w:val="004E7C59"/>
    <w:rsid w:val="004F0706"/>
    <w:rsid w:val="004F1053"/>
    <w:rsid w:val="004F2BA8"/>
    <w:rsid w:val="004F648D"/>
    <w:rsid w:val="004F6959"/>
    <w:rsid w:val="00502229"/>
    <w:rsid w:val="005031CA"/>
    <w:rsid w:val="005105C2"/>
    <w:rsid w:val="00521AD5"/>
    <w:rsid w:val="005223EB"/>
    <w:rsid w:val="00522A00"/>
    <w:rsid w:val="00526B96"/>
    <w:rsid w:val="00533A11"/>
    <w:rsid w:val="00534A27"/>
    <w:rsid w:val="00536071"/>
    <w:rsid w:val="0053685A"/>
    <w:rsid w:val="00536AC4"/>
    <w:rsid w:val="00537EAA"/>
    <w:rsid w:val="00543F4D"/>
    <w:rsid w:val="00544E23"/>
    <w:rsid w:val="00562268"/>
    <w:rsid w:val="00567666"/>
    <w:rsid w:val="00574298"/>
    <w:rsid w:val="005748DB"/>
    <w:rsid w:val="005804B2"/>
    <w:rsid w:val="00581191"/>
    <w:rsid w:val="005816DA"/>
    <w:rsid w:val="005839B9"/>
    <w:rsid w:val="00585FCC"/>
    <w:rsid w:val="0058780D"/>
    <w:rsid w:val="0059040D"/>
    <w:rsid w:val="00591582"/>
    <w:rsid w:val="00591FED"/>
    <w:rsid w:val="00592B28"/>
    <w:rsid w:val="005A0B66"/>
    <w:rsid w:val="005A2869"/>
    <w:rsid w:val="005A2E7C"/>
    <w:rsid w:val="005B5F93"/>
    <w:rsid w:val="005C2DCE"/>
    <w:rsid w:val="005C7635"/>
    <w:rsid w:val="005D0582"/>
    <w:rsid w:val="005D2290"/>
    <w:rsid w:val="005E161B"/>
    <w:rsid w:val="005E1BE3"/>
    <w:rsid w:val="005E34D0"/>
    <w:rsid w:val="005F0A0C"/>
    <w:rsid w:val="005F18B7"/>
    <w:rsid w:val="00601E38"/>
    <w:rsid w:val="00604381"/>
    <w:rsid w:val="006077B7"/>
    <w:rsid w:val="00607E3A"/>
    <w:rsid w:val="00611373"/>
    <w:rsid w:val="00612F04"/>
    <w:rsid w:val="006156EA"/>
    <w:rsid w:val="006200BC"/>
    <w:rsid w:val="0062457E"/>
    <w:rsid w:val="00625F3B"/>
    <w:rsid w:val="00630442"/>
    <w:rsid w:val="006332F3"/>
    <w:rsid w:val="00637756"/>
    <w:rsid w:val="00640A01"/>
    <w:rsid w:val="0064255F"/>
    <w:rsid w:val="006452F6"/>
    <w:rsid w:val="0065131C"/>
    <w:rsid w:val="006562DA"/>
    <w:rsid w:val="00666F77"/>
    <w:rsid w:val="00677E52"/>
    <w:rsid w:val="0068354E"/>
    <w:rsid w:val="00685D60"/>
    <w:rsid w:val="00690B96"/>
    <w:rsid w:val="00694465"/>
    <w:rsid w:val="006A114C"/>
    <w:rsid w:val="006A21A4"/>
    <w:rsid w:val="006A5168"/>
    <w:rsid w:val="006B2C77"/>
    <w:rsid w:val="006B7715"/>
    <w:rsid w:val="006B7D45"/>
    <w:rsid w:val="006C224E"/>
    <w:rsid w:val="006C225A"/>
    <w:rsid w:val="006C3740"/>
    <w:rsid w:val="006C69C8"/>
    <w:rsid w:val="006C75CC"/>
    <w:rsid w:val="006C77E9"/>
    <w:rsid w:val="006D0902"/>
    <w:rsid w:val="006D478F"/>
    <w:rsid w:val="006E48AB"/>
    <w:rsid w:val="006E560F"/>
    <w:rsid w:val="006F2BAB"/>
    <w:rsid w:val="006F6BC3"/>
    <w:rsid w:val="006F7924"/>
    <w:rsid w:val="0071246E"/>
    <w:rsid w:val="00714503"/>
    <w:rsid w:val="00717E0E"/>
    <w:rsid w:val="00720A3D"/>
    <w:rsid w:val="00722C8E"/>
    <w:rsid w:val="00726634"/>
    <w:rsid w:val="00727734"/>
    <w:rsid w:val="0074037D"/>
    <w:rsid w:val="00753393"/>
    <w:rsid w:val="007533B0"/>
    <w:rsid w:val="00766621"/>
    <w:rsid w:val="00772EAD"/>
    <w:rsid w:val="007740B9"/>
    <w:rsid w:val="0077705A"/>
    <w:rsid w:val="00785093"/>
    <w:rsid w:val="00786657"/>
    <w:rsid w:val="00786B68"/>
    <w:rsid w:val="00786EC0"/>
    <w:rsid w:val="00790E17"/>
    <w:rsid w:val="0079219D"/>
    <w:rsid w:val="00793675"/>
    <w:rsid w:val="00794138"/>
    <w:rsid w:val="00794AAD"/>
    <w:rsid w:val="007A0DE0"/>
    <w:rsid w:val="007A75DF"/>
    <w:rsid w:val="007A7B05"/>
    <w:rsid w:val="007B0EB2"/>
    <w:rsid w:val="007B371D"/>
    <w:rsid w:val="007B6CBC"/>
    <w:rsid w:val="007C0B9A"/>
    <w:rsid w:val="007C44AC"/>
    <w:rsid w:val="007C74BE"/>
    <w:rsid w:val="007D2110"/>
    <w:rsid w:val="007D77FA"/>
    <w:rsid w:val="007E7EC3"/>
    <w:rsid w:val="007F0FD3"/>
    <w:rsid w:val="007F71F7"/>
    <w:rsid w:val="00803451"/>
    <w:rsid w:val="00803C9A"/>
    <w:rsid w:val="00804112"/>
    <w:rsid w:val="0081547F"/>
    <w:rsid w:val="00815AFE"/>
    <w:rsid w:val="00824F09"/>
    <w:rsid w:val="008255CF"/>
    <w:rsid w:val="008259BF"/>
    <w:rsid w:val="008413E2"/>
    <w:rsid w:val="00852E80"/>
    <w:rsid w:val="008552EB"/>
    <w:rsid w:val="00855986"/>
    <w:rsid w:val="00856871"/>
    <w:rsid w:val="008620B0"/>
    <w:rsid w:val="008654E8"/>
    <w:rsid w:val="008656AD"/>
    <w:rsid w:val="00867867"/>
    <w:rsid w:val="00880D2A"/>
    <w:rsid w:val="008834B5"/>
    <w:rsid w:val="00886DB9"/>
    <w:rsid w:val="00891363"/>
    <w:rsid w:val="00892EF3"/>
    <w:rsid w:val="00893D32"/>
    <w:rsid w:val="008946ED"/>
    <w:rsid w:val="008A31D7"/>
    <w:rsid w:val="008A4EA3"/>
    <w:rsid w:val="008A5260"/>
    <w:rsid w:val="008A5857"/>
    <w:rsid w:val="008A7EE9"/>
    <w:rsid w:val="008B1A33"/>
    <w:rsid w:val="008B43CD"/>
    <w:rsid w:val="008B5715"/>
    <w:rsid w:val="008B7BA9"/>
    <w:rsid w:val="008C1B76"/>
    <w:rsid w:val="008C3A27"/>
    <w:rsid w:val="008C54FA"/>
    <w:rsid w:val="008C55C6"/>
    <w:rsid w:val="008D0316"/>
    <w:rsid w:val="008D4099"/>
    <w:rsid w:val="008D7ABE"/>
    <w:rsid w:val="008E1DDE"/>
    <w:rsid w:val="008E68C3"/>
    <w:rsid w:val="008E7F65"/>
    <w:rsid w:val="008F6D36"/>
    <w:rsid w:val="008F7997"/>
    <w:rsid w:val="00903B10"/>
    <w:rsid w:val="0091050A"/>
    <w:rsid w:val="00912878"/>
    <w:rsid w:val="00914DD2"/>
    <w:rsid w:val="009232B0"/>
    <w:rsid w:val="0092396E"/>
    <w:rsid w:val="0092473E"/>
    <w:rsid w:val="0092510F"/>
    <w:rsid w:val="00927E19"/>
    <w:rsid w:val="009319DC"/>
    <w:rsid w:val="009349F1"/>
    <w:rsid w:val="009368C5"/>
    <w:rsid w:val="00950283"/>
    <w:rsid w:val="0095162B"/>
    <w:rsid w:val="00952199"/>
    <w:rsid w:val="00953D2F"/>
    <w:rsid w:val="00956731"/>
    <w:rsid w:val="009619AC"/>
    <w:rsid w:val="00962405"/>
    <w:rsid w:val="00964A37"/>
    <w:rsid w:val="009852B5"/>
    <w:rsid w:val="00987E49"/>
    <w:rsid w:val="009A088B"/>
    <w:rsid w:val="009A5445"/>
    <w:rsid w:val="009B0F76"/>
    <w:rsid w:val="009B35D3"/>
    <w:rsid w:val="009B68C6"/>
    <w:rsid w:val="009C0B95"/>
    <w:rsid w:val="009C310E"/>
    <w:rsid w:val="009C762D"/>
    <w:rsid w:val="009E1360"/>
    <w:rsid w:val="009E1C68"/>
    <w:rsid w:val="009E6DA1"/>
    <w:rsid w:val="009F2624"/>
    <w:rsid w:val="009F2F10"/>
    <w:rsid w:val="009F50BC"/>
    <w:rsid w:val="009F61BF"/>
    <w:rsid w:val="009F673A"/>
    <w:rsid w:val="009F7A1C"/>
    <w:rsid w:val="00A013EE"/>
    <w:rsid w:val="00A01B5D"/>
    <w:rsid w:val="00A032A4"/>
    <w:rsid w:val="00A05449"/>
    <w:rsid w:val="00A07983"/>
    <w:rsid w:val="00A10FD6"/>
    <w:rsid w:val="00A135F6"/>
    <w:rsid w:val="00A137DF"/>
    <w:rsid w:val="00A1473C"/>
    <w:rsid w:val="00A14D7A"/>
    <w:rsid w:val="00A1579D"/>
    <w:rsid w:val="00A15933"/>
    <w:rsid w:val="00A17039"/>
    <w:rsid w:val="00A302FF"/>
    <w:rsid w:val="00A307F8"/>
    <w:rsid w:val="00A353FD"/>
    <w:rsid w:val="00A3646C"/>
    <w:rsid w:val="00A44000"/>
    <w:rsid w:val="00A444F9"/>
    <w:rsid w:val="00A505E3"/>
    <w:rsid w:val="00A5342D"/>
    <w:rsid w:val="00A55DE4"/>
    <w:rsid w:val="00A5790A"/>
    <w:rsid w:val="00A604BA"/>
    <w:rsid w:val="00A60A92"/>
    <w:rsid w:val="00A645B9"/>
    <w:rsid w:val="00A7080A"/>
    <w:rsid w:val="00A73640"/>
    <w:rsid w:val="00A75949"/>
    <w:rsid w:val="00A76703"/>
    <w:rsid w:val="00A86A81"/>
    <w:rsid w:val="00A9649A"/>
    <w:rsid w:val="00A97E59"/>
    <w:rsid w:val="00AA30D1"/>
    <w:rsid w:val="00AC6680"/>
    <w:rsid w:val="00AD06E7"/>
    <w:rsid w:val="00AD1349"/>
    <w:rsid w:val="00AD2CF0"/>
    <w:rsid w:val="00AD40DA"/>
    <w:rsid w:val="00AD4194"/>
    <w:rsid w:val="00AE4CE9"/>
    <w:rsid w:val="00AE4D56"/>
    <w:rsid w:val="00AE5014"/>
    <w:rsid w:val="00AE5EFE"/>
    <w:rsid w:val="00AF236D"/>
    <w:rsid w:val="00AF2F75"/>
    <w:rsid w:val="00AF4095"/>
    <w:rsid w:val="00AF4917"/>
    <w:rsid w:val="00B00B62"/>
    <w:rsid w:val="00B01451"/>
    <w:rsid w:val="00B01AEF"/>
    <w:rsid w:val="00B02C7A"/>
    <w:rsid w:val="00B02D7E"/>
    <w:rsid w:val="00B10313"/>
    <w:rsid w:val="00B10B72"/>
    <w:rsid w:val="00B1556D"/>
    <w:rsid w:val="00B1615F"/>
    <w:rsid w:val="00B235D6"/>
    <w:rsid w:val="00B238F3"/>
    <w:rsid w:val="00B245C9"/>
    <w:rsid w:val="00B30B50"/>
    <w:rsid w:val="00B340D1"/>
    <w:rsid w:val="00B349B6"/>
    <w:rsid w:val="00B40FD0"/>
    <w:rsid w:val="00B41A99"/>
    <w:rsid w:val="00B4337E"/>
    <w:rsid w:val="00B447CB"/>
    <w:rsid w:val="00B460B3"/>
    <w:rsid w:val="00B50DB6"/>
    <w:rsid w:val="00B50DEB"/>
    <w:rsid w:val="00B52795"/>
    <w:rsid w:val="00B52850"/>
    <w:rsid w:val="00B61564"/>
    <w:rsid w:val="00B650A7"/>
    <w:rsid w:val="00B6527B"/>
    <w:rsid w:val="00B653FB"/>
    <w:rsid w:val="00B77D22"/>
    <w:rsid w:val="00B834F7"/>
    <w:rsid w:val="00B84E59"/>
    <w:rsid w:val="00B851B7"/>
    <w:rsid w:val="00B903CB"/>
    <w:rsid w:val="00B93244"/>
    <w:rsid w:val="00B93B5C"/>
    <w:rsid w:val="00BA0BA6"/>
    <w:rsid w:val="00BA0DE4"/>
    <w:rsid w:val="00BA5F96"/>
    <w:rsid w:val="00BA6C97"/>
    <w:rsid w:val="00BB61AC"/>
    <w:rsid w:val="00BC051A"/>
    <w:rsid w:val="00BC7221"/>
    <w:rsid w:val="00BC7307"/>
    <w:rsid w:val="00BD22A5"/>
    <w:rsid w:val="00BD5350"/>
    <w:rsid w:val="00BE679D"/>
    <w:rsid w:val="00BF6451"/>
    <w:rsid w:val="00C01F11"/>
    <w:rsid w:val="00C01FC4"/>
    <w:rsid w:val="00C0214D"/>
    <w:rsid w:val="00C1070C"/>
    <w:rsid w:val="00C13FE7"/>
    <w:rsid w:val="00C15DF0"/>
    <w:rsid w:val="00C17CDE"/>
    <w:rsid w:val="00C26E2F"/>
    <w:rsid w:val="00C271BF"/>
    <w:rsid w:val="00C336CD"/>
    <w:rsid w:val="00C51846"/>
    <w:rsid w:val="00C52AAC"/>
    <w:rsid w:val="00C52FBC"/>
    <w:rsid w:val="00C53B0B"/>
    <w:rsid w:val="00C54774"/>
    <w:rsid w:val="00C5494D"/>
    <w:rsid w:val="00C54D5B"/>
    <w:rsid w:val="00C60EC2"/>
    <w:rsid w:val="00C60FC5"/>
    <w:rsid w:val="00C65F6A"/>
    <w:rsid w:val="00C75FE3"/>
    <w:rsid w:val="00C81D32"/>
    <w:rsid w:val="00C8686D"/>
    <w:rsid w:val="00C91616"/>
    <w:rsid w:val="00CA3E59"/>
    <w:rsid w:val="00CA5340"/>
    <w:rsid w:val="00CB1375"/>
    <w:rsid w:val="00CB3181"/>
    <w:rsid w:val="00CC1A74"/>
    <w:rsid w:val="00CC274C"/>
    <w:rsid w:val="00CC3CD3"/>
    <w:rsid w:val="00CC7E70"/>
    <w:rsid w:val="00CD11AC"/>
    <w:rsid w:val="00CD443E"/>
    <w:rsid w:val="00CD7AA2"/>
    <w:rsid w:val="00CE009F"/>
    <w:rsid w:val="00CE30D8"/>
    <w:rsid w:val="00CE653F"/>
    <w:rsid w:val="00CF1A5A"/>
    <w:rsid w:val="00CF36CE"/>
    <w:rsid w:val="00CF51BE"/>
    <w:rsid w:val="00CF5C6C"/>
    <w:rsid w:val="00D14AAE"/>
    <w:rsid w:val="00D15B23"/>
    <w:rsid w:val="00D23A68"/>
    <w:rsid w:val="00D37E32"/>
    <w:rsid w:val="00D40F3F"/>
    <w:rsid w:val="00D520EA"/>
    <w:rsid w:val="00D52BE7"/>
    <w:rsid w:val="00D55ADF"/>
    <w:rsid w:val="00D573B4"/>
    <w:rsid w:val="00D71585"/>
    <w:rsid w:val="00D82D42"/>
    <w:rsid w:val="00D85D02"/>
    <w:rsid w:val="00DA37B2"/>
    <w:rsid w:val="00DA70DB"/>
    <w:rsid w:val="00DC2E49"/>
    <w:rsid w:val="00DC4A77"/>
    <w:rsid w:val="00DD0D1B"/>
    <w:rsid w:val="00DD21E3"/>
    <w:rsid w:val="00DD39CC"/>
    <w:rsid w:val="00DD5D38"/>
    <w:rsid w:val="00DD63B4"/>
    <w:rsid w:val="00DE1175"/>
    <w:rsid w:val="00DE26D0"/>
    <w:rsid w:val="00DF022C"/>
    <w:rsid w:val="00DF1AE6"/>
    <w:rsid w:val="00DF3A04"/>
    <w:rsid w:val="00DF654A"/>
    <w:rsid w:val="00DF6AF6"/>
    <w:rsid w:val="00DF7A1E"/>
    <w:rsid w:val="00E00842"/>
    <w:rsid w:val="00E0101E"/>
    <w:rsid w:val="00E03519"/>
    <w:rsid w:val="00E05E27"/>
    <w:rsid w:val="00E06A85"/>
    <w:rsid w:val="00E07560"/>
    <w:rsid w:val="00E10717"/>
    <w:rsid w:val="00E157E7"/>
    <w:rsid w:val="00E1684D"/>
    <w:rsid w:val="00E17A42"/>
    <w:rsid w:val="00E2029F"/>
    <w:rsid w:val="00E226C3"/>
    <w:rsid w:val="00E323CB"/>
    <w:rsid w:val="00E36221"/>
    <w:rsid w:val="00E366A5"/>
    <w:rsid w:val="00E43054"/>
    <w:rsid w:val="00E430F2"/>
    <w:rsid w:val="00E438FC"/>
    <w:rsid w:val="00E55DF8"/>
    <w:rsid w:val="00E6187E"/>
    <w:rsid w:val="00E65A79"/>
    <w:rsid w:val="00E672E1"/>
    <w:rsid w:val="00E679EE"/>
    <w:rsid w:val="00E71BF8"/>
    <w:rsid w:val="00E90BD8"/>
    <w:rsid w:val="00E92808"/>
    <w:rsid w:val="00EA2F0B"/>
    <w:rsid w:val="00EA3879"/>
    <w:rsid w:val="00EA4622"/>
    <w:rsid w:val="00EA4857"/>
    <w:rsid w:val="00EB1788"/>
    <w:rsid w:val="00EB3EA5"/>
    <w:rsid w:val="00EB6C1F"/>
    <w:rsid w:val="00EC377B"/>
    <w:rsid w:val="00EC51DD"/>
    <w:rsid w:val="00EC6253"/>
    <w:rsid w:val="00EC63F7"/>
    <w:rsid w:val="00ED0658"/>
    <w:rsid w:val="00ED2567"/>
    <w:rsid w:val="00ED3CBC"/>
    <w:rsid w:val="00EE5DAF"/>
    <w:rsid w:val="00EE6A58"/>
    <w:rsid w:val="00EF105A"/>
    <w:rsid w:val="00EF1565"/>
    <w:rsid w:val="00EF4F3C"/>
    <w:rsid w:val="00EF61B5"/>
    <w:rsid w:val="00EF776A"/>
    <w:rsid w:val="00EF7D36"/>
    <w:rsid w:val="00F02E37"/>
    <w:rsid w:val="00F07274"/>
    <w:rsid w:val="00F15F17"/>
    <w:rsid w:val="00F17501"/>
    <w:rsid w:val="00F2403F"/>
    <w:rsid w:val="00F3038A"/>
    <w:rsid w:val="00F324D6"/>
    <w:rsid w:val="00F34D87"/>
    <w:rsid w:val="00F42D58"/>
    <w:rsid w:val="00F51729"/>
    <w:rsid w:val="00F53463"/>
    <w:rsid w:val="00F60992"/>
    <w:rsid w:val="00F64A3A"/>
    <w:rsid w:val="00F64F95"/>
    <w:rsid w:val="00F6548A"/>
    <w:rsid w:val="00F82F1E"/>
    <w:rsid w:val="00F85EC8"/>
    <w:rsid w:val="00F8745F"/>
    <w:rsid w:val="00F95AFF"/>
    <w:rsid w:val="00F96472"/>
    <w:rsid w:val="00F97759"/>
    <w:rsid w:val="00FA68E1"/>
    <w:rsid w:val="00FB2A45"/>
    <w:rsid w:val="00FC01AD"/>
    <w:rsid w:val="00FC1E8D"/>
    <w:rsid w:val="00FD5168"/>
    <w:rsid w:val="00FE1B42"/>
    <w:rsid w:val="00FE56F5"/>
    <w:rsid w:val="00FF2135"/>
    <w:rsid w:val="00FF2292"/>
    <w:rsid w:val="00FF3374"/>
    <w:rsid w:val="00FF349D"/>
    <w:rsid w:val="170C084D"/>
    <w:rsid w:val="1B7C0EA4"/>
    <w:rsid w:val="20402939"/>
    <w:rsid w:val="2BA60CE5"/>
    <w:rsid w:val="469E62EA"/>
    <w:rsid w:val="4E06200F"/>
    <w:rsid w:val="4E264AC2"/>
    <w:rsid w:val="6D2F00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93B319"/>
  <w15:docId w15:val="{70F0B3ED-0D2F-4AB4-B6D8-EF2B24350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rPr>
      <w:sz w:val="20"/>
      <w:szCs w:val="20"/>
    </w:rPr>
  </w:style>
  <w:style w:type="paragraph" w:styleId="Footer">
    <w:name w:val="footer"/>
    <w:basedOn w:val="Normal"/>
    <w:link w:val="FooterChar"/>
    <w:uiPriority w:val="99"/>
    <w:unhideWhenUsed/>
    <w:qFormat/>
    <w:pPr>
      <w:tabs>
        <w:tab w:val="center" w:pos="4536"/>
        <w:tab w:val="right" w:pos="9072"/>
      </w:tabs>
    </w:pPr>
  </w:style>
  <w:style w:type="paragraph" w:styleId="Header">
    <w:name w:val="header"/>
    <w:basedOn w:val="Normal"/>
    <w:link w:val="HeaderChar"/>
    <w:uiPriority w:val="99"/>
    <w:unhideWhenUsed/>
    <w:qFormat/>
    <w:pPr>
      <w:tabs>
        <w:tab w:val="center" w:pos="4536"/>
        <w:tab w:val="right" w:pos="9072"/>
      </w:tabs>
    </w:pPr>
  </w:style>
  <w:style w:type="paragraph" w:styleId="ListParagraph">
    <w:name w:val="List Paragraph"/>
    <w:basedOn w:val="Normal"/>
    <w:uiPriority w:val="34"/>
    <w:qFormat/>
    <w:pPr>
      <w:ind w:left="720"/>
      <w:contextualSpacing/>
    </w:pPr>
  </w:style>
  <w:style w:type="paragraph" w:customStyle="1" w:styleId="Style1">
    <w:name w:val="Style1"/>
    <w:basedOn w:val="Heading1"/>
    <w:next w:val="Normal"/>
    <w:link w:val="Style1Char"/>
    <w:autoRedefine/>
    <w:qFormat/>
    <w:pPr>
      <w:widowControl w:val="0"/>
      <w:pBdr>
        <w:top w:val="single" w:sz="4" w:space="1" w:color="auto"/>
        <w:bottom w:val="single" w:sz="4" w:space="1" w:color="auto"/>
      </w:pBdr>
      <w:shd w:val="clear" w:color="auto" w:fill="C5E0B3" w:themeFill="accent6" w:themeFillTint="66"/>
      <w:spacing w:before="120"/>
      <w:ind w:left="357" w:hanging="357"/>
      <w:jc w:val="both"/>
    </w:pPr>
    <w:rPr>
      <w:rFonts w:ascii="Times New Roman" w:hAnsi="Times New Roman" w:cs="Times New Roman"/>
      <w:b/>
      <w:color w:val="auto"/>
      <w:sz w:val="24"/>
      <w:szCs w:val="24"/>
      <w:lang w:eastAsia="en-US"/>
    </w:rPr>
  </w:style>
  <w:style w:type="character" w:customStyle="1" w:styleId="Style1Char">
    <w:name w:val="Style1 Char"/>
    <w:basedOn w:val="DefaultParagraphFont"/>
    <w:link w:val="Style1"/>
    <w:qFormat/>
    <w:rPr>
      <w:rFonts w:ascii="Times New Roman" w:eastAsiaTheme="majorEastAsia" w:hAnsi="Times New Roman" w:cs="Times New Roman"/>
      <w:b/>
      <w:sz w:val="24"/>
      <w:szCs w:val="24"/>
      <w:shd w:val="clear" w:color="auto" w:fill="C5E0B3" w:themeFill="accent6" w:themeFillTint="66"/>
      <w:lang w:val="bg-BG"/>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lang w:val="bg-BG" w:eastAsia="bg-BG"/>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lang w:val="bg-BG" w:eastAsia="bg-BG"/>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bg-BG" w:eastAsia="bg-BG"/>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bg-BG" w:eastAsia="bg-BG"/>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4"/>
      <w:lang w:val="bg-BG" w:eastAsia="bg-BG"/>
    </w:rPr>
  </w:style>
  <w:style w:type="character" w:customStyle="1" w:styleId="FooterChar">
    <w:name w:val="Footer Char"/>
    <w:basedOn w:val="DefaultParagraphFont"/>
    <w:link w:val="Footer"/>
    <w:uiPriority w:val="99"/>
    <w:qFormat/>
    <w:rPr>
      <w:rFonts w:ascii="Times New Roman" w:eastAsia="Times New Roman" w:hAnsi="Times New Roman" w:cs="Times New Roman"/>
      <w:sz w:val="24"/>
      <w:szCs w:val="24"/>
      <w:lang w:val="bg-BG" w:eastAsia="bg-BG"/>
    </w:rPr>
  </w:style>
  <w:style w:type="character" w:customStyle="1" w:styleId="EndnoteTextChar">
    <w:name w:val="Endnote Text Char"/>
    <w:basedOn w:val="DefaultParagraphFont"/>
    <w:link w:val="EndnoteText"/>
    <w:uiPriority w:val="99"/>
    <w:semiHidden/>
    <w:qFormat/>
    <w:rPr>
      <w:rFonts w:ascii="Times New Roman" w:eastAsia="Times New Roman" w:hAnsi="Times New Roman" w:cs="Times New Roman"/>
      <w:sz w:val="20"/>
      <w:szCs w:val="20"/>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1D649-E630-4127-9429-22B852835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1610</Words>
  <Characters>9178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Dinko Draganov</dc:creator>
  <cp:lastModifiedBy>Branimira Vezhdarova</cp:lastModifiedBy>
  <cp:revision>4</cp:revision>
  <cp:lastPrinted>2023-11-29T12:36:00Z</cp:lastPrinted>
  <dcterms:created xsi:type="dcterms:W3CDTF">2025-05-21T14:16:00Z</dcterms:created>
  <dcterms:modified xsi:type="dcterms:W3CDTF">2025-05-22T08:04:00Z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2057-12.2.0.19821</vt:lpwstr>
  </property>
  <property fmtid="{D5CDD505-2E9C-101B-9397-08002B2CF9AE}" pid="3" name="ICV">
    <vt:lpwstr>964877F85F8B43F8ABC385B3E67FC6AE_12</vt:lpwstr>
  </property>
</Properties>
</file>